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BA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合同约定：市场价格波动是否调整合同价格的约定:仅对钢材(钢筋、钢构、钢管)、屋面彩钢板、混凝土(C30强度及以上)、砖、水泥、砂、石子、山皮石变更。关于基准价格的约定:投标截止日前28天《洮南市造价信息》作为基准价格。</w:t>
      </w:r>
    </w:p>
    <w:p w14:paraId="4849F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本项目钢结构为：Q355B钢管柱、Q355B钢梁、Q235B钢龙骨、Q235B墙梁、Q235B钢方管、Q235B钢支撑、Q235B钢拉条、Q235B钢檩条、Q235B钢梯。到现场均为成品钢构件。</w:t>
      </w:r>
    </w:p>
    <w:p w14:paraId="4E62A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问题：洮南造价信息无成品钢结构的价格，怎样调差，是否可以按原材（钢板价格）进行调差。</w:t>
      </w:r>
    </w:p>
    <w:p w14:paraId="2F6B4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计价依据：工程量清单项目计量规范(2013-吉林)，吉林省建筑装饰工程计价定额(2019)</w:t>
      </w:r>
    </w:p>
    <w:p w14:paraId="24FC304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eastAsiaTheme="minorEastAsia"/>
          <w:lang w:eastAsia="zh-CN"/>
        </w:rPr>
      </w:pPr>
    </w:p>
    <w:p w14:paraId="20D0E0D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eastAsiaTheme="minorEastAsia"/>
          <w:lang w:eastAsia="zh-CN"/>
        </w:rPr>
      </w:pPr>
    </w:p>
    <w:p w14:paraId="682093B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eastAsiaTheme="minorEastAsia"/>
          <w:lang w:eastAsia="zh-CN"/>
        </w:rPr>
      </w:pPr>
    </w:p>
    <w:p w14:paraId="61A7FCD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eastAsiaTheme="minorEastAsia"/>
          <w:lang w:eastAsia="zh-CN"/>
        </w:rPr>
      </w:pPr>
    </w:p>
    <w:p w14:paraId="5B2BF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03AF9D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bookmarkStart w:id="0" w:name="_GoBack"/>
      <w:bookmarkEnd w:id="0"/>
    </w:p>
    <w:p w14:paraId="6502B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5F102F"/>
    <w:rsid w:val="25E46AA9"/>
    <w:rsid w:val="2D151C3D"/>
    <w:rsid w:val="4ECE3A54"/>
    <w:rsid w:val="6834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2026-08-31T06:37:41Z</dcterms:created>
  <dc:creator>Caorq</dc:creator>
  <cp:lastModifiedBy>木</cp:lastModifiedBy>
  <dcterms:modified xsi:type="dcterms:W3CDTF">2026-08-31T06:44:29Z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eyJoZGlkIjoiOGFhMTRjNDc5Zjc4ZWQ5NGQzNzJkZWM4NzBiNjYxZTYiLCJ1c2VySWQiOiIxMjU1MjMxMzYzIn0=</vt:lpwstr>
  </property>
  <property fmtid="{D5CDD505-2E9C-101B-9397-08002B2CF9AE}" pid="4" name="ICV">
    <vt:lpwstr>79D94F1DC2884E35B5F4102782389B70_12</vt:lpwstr>
  </property>
</Properties>
</file>