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FFBC8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基础模板招标清单列项：条形基础（红色框图部位）、筏板基础、集水坑（其余部位）</w:t>
      </w:r>
    </w:p>
    <w:p w14:paraId="4CEDBE5F">
      <w:r>
        <w:drawing>
          <wp:inline distT="0" distB="0" distL="114300" distR="114300">
            <wp:extent cx="5273040" cy="648335"/>
            <wp:effectExtent l="0" t="0" r="1016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BB7E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图纸：</w:t>
      </w:r>
    </w:p>
    <w:p w14:paraId="113FAE2D">
      <w:r>
        <w:drawing>
          <wp:inline distT="0" distB="0" distL="114300" distR="114300">
            <wp:extent cx="5269230" cy="6378575"/>
            <wp:effectExtent l="0" t="0" r="127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37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EA9CB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模板计算规则：按模板与现浇混凝土构件的接触面积计算。原槽浇灌的混凝土基础，不计算模板。</w:t>
      </w:r>
    </w:p>
    <w:p w14:paraId="4EECBCD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问题：结算时，条形基础模板按实际体积计算，筏板基础未使用模板，是否可以不计算模板。</w:t>
      </w:r>
    </w:p>
    <w:p w14:paraId="51379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计价依据：工程量清单项目计量规范(2013-吉林)，吉林省建筑装饰工程计价定额(2019)</w:t>
      </w:r>
    </w:p>
    <w:p w14:paraId="1124B9CE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DC1227"/>
    <w:rsid w:val="3D934651"/>
    <w:rsid w:val="49AC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125</Characters>
  <Lines>0</Lines>
  <Paragraphs>0</Paragraphs>
  <TotalTime>0</TotalTime>
  <ScaleCrop>false</ScaleCrop>
  <LinksUpToDate>false</LinksUpToDate>
  <CharactersWithSpaces>125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2026-08-31T06:10:00Z</dcterms:created>
  <dc:creator>Caorq</dc:creator>
  <cp:lastModifiedBy>木</cp:lastModifiedBy>
  <dcterms:modified xsi:type="dcterms:W3CDTF">2026-08-31T06:47:03Z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eyJoZGlkIjoiOGFhMTRjNDc5Zjc4ZWQ5NGQzNzJkZWM4NzBiNjYxZTYiLCJ1c2VySWQiOiIxMjU1MjMxMzYzIn0=</vt:lpwstr>
  </property>
  <property fmtid="{D5CDD505-2E9C-101B-9397-08002B2CF9AE}" pid="4" name="ICV">
    <vt:lpwstr>F9D92B0BEC304A8E9811AA98047DB230_12</vt:lpwstr>
  </property>
</Properties>
</file>