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EFCF" w14:textId="77CD6D76" w:rsidR="00773896" w:rsidRDefault="00C932BC" w:rsidP="00773896">
      <w:pPr>
        <w:rPr>
          <w:sz w:val="28"/>
          <w:szCs w:val="28"/>
        </w:rPr>
      </w:pPr>
      <w:r w:rsidRPr="00C932BC">
        <w:rPr>
          <w:rFonts w:hint="eastAsia"/>
          <w:sz w:val="28"/>
          <w:szCs w:val="28"/>
        </w:rPr>
        <w:t>地面四</w:t>
      </w:r>
      <w:r>
        <w:rPr>
          <w:rFonts w:hint="eastAsia"/>
          <w:sz w:val="28"/>
          <w:szCs w:val="28"/>
        </w:rPr>
        <w:t>建筑</w:t>
      </w:r>
      <w:r w:rsidRPr="00C932BC">
        <w:rPr>
          <w:rFonts w:hint="eastAsia"/>
          <w:sz w:val="28"/>
          <w:szCs w:val="28"/>
        </w:rPr>
        <w:t>图纸做法</w:t>
      </w:r>
      <w:proofErr w:type="gramStart"/>
      <w:r>
        <w:rPr>
          <w:rFonts w:hint="eastAsia"/>
          <w:sz w:val="28"/>
          <w:szCs w:val="28"/>
        </w:rPr>
        <w:t>(由下到上)</w:t>
      </w:r>
      <w:proofErr w:type="gramEnd"/>
      <w:r w:rsidRPr="00C932BC">
        <w:rPr>
          <w:rFonts w:hint="eastAsia"/>
          <w:sz w:val="28"/>
          <w:szCs w:val="28"/>
        </w:rPr>
        <w:t>：</w:t>
      </w:r>
      <w:r w:rsidRPr="00C932BC">
        <w:rPr>
          <w:rFonts w:hint="eastAsia"/>
          <w:sz w:val="28"/>
          <w:szCs w:val="28"/>
        </w:rPr>
        <w:t>1.素土夯实，</w:t>
      </w:r>
      <w:r>
        <w:rPr>
          <w:rFonts w:hint="eastAsia"/>
          <w:sz w:val="28"/>
          <w:szCs w:val="28"/>
        </w:rPr>
        <w:t>2.10丝聚乙烯薄膜，3.70厚C15混凝土垫层，4.</w:t>
      </w:r>
      <w:r w:rsidRPr="00C932BC">
        <w:rPr>
          <w:rFonts w:hint="eastAsia"/>
          <w:sz w:val="28"/>
          <w:szCs w:val="28"/>
        </w:rPr>
        <w:t>钢筋砼底板（具体厚度及配筋见结构，抗渗等级P6,C30混凝土）随打随抹光</w:t>
      </w:r>
      <w:r>
        <w:rPr>
          <w:rFonts w:hint="eastAsia"/>
          <w:sz w:val="28"/>
          <w:szCs w:val="28"/>
        </w:rPr>
        <w:t>。其中</w:t>
      </w:r>
      <w:r w:rsidR="007E0D2E">
        <w:rPr>
          <w:rFonts w:hint="eastAsia"/>
          <w:sz w:val="28"/>
          <w:szCs w:val="28"/>
        </w:rPr>
        <w:t>结构做法</w:t>
      </w:r>
      <w:r w:rsidR="007E0D2E">
        <w:rPr>
          <w:rFonts w:hint="eastAsia"/>
          <w:sz w:val="28"/>
          <w:szCs w:val="28"/>
        </w:rPr>
        <w:t>10丝聚乙烯薄膜</w:t>
      </w:r>
      <w:r w:rsidR="007E0D2E">
        <w:rPr>
          <w:rFonts w:hint="eastAsia"/>
          <w:sz w:val="28"/>
          <w:szCs w:val="28"/>
        </w:rPr>
        <w:t>已单独列项，混凝土垫层在建筑工程中已单独列项，</w:t>
      </w:r>
      <w:r w:rsidRPr="00C932BC">
        <w:rPr>
          <w:rFonts w:hint="eastAsia"/>
          <w:sz w:val="28"/>
          <w:szCs w:val="28"/>
        </w:rPr>
        <w:t>钢筋砼底板</w:t>
      </w:r>
      <w:r w:rsidR="007E0D2E">
        <w:rPr>
          <w:rFonts w:hint="eastAsia"/>
          <w:sz w:val="28"/>
          <w:szCs w:val="28"/>
        </w:rPr>
        <w:t>在建筑工程清单中</w:t>
      </w:r>
      <w:r w:rsidRPr="00C932BC">
        <w:rPr>
          <w:rFonts w:hint="eastAsia"/>
          <w:sz w:val="28"/>
          <w:szCs w:val="28"/>
        </w:rPr>
        <w:t>单独列清（010501004015筏板基础）</w:t>
      </w:r>
      <w:r w:rsidR="007E0D2E">
        <w:rPr>
          <w:rFonts w:hint="eastAsia"/>
          <w:sz w:val="28"/>
          <w:szCs w:val="28"/>
        </w:rPr>
        <w:t>。建筑地面</w:t>
      </w:r>
      <w:r w:rsidR="007E0D2E" w:rsidRPr="00C932BC">
        <w:rPr>
          <w:rFonts w:hint="eastAsia"/>
          <w:sz w:val="28"/>
          <w:szCs w:val="28"/>
        </w:rPr>
        <w:t>素土夯实</w:t>
      </w:r>
      <w:r w:rsidR="007E0D2E">
        <w:rPr>
          <w:rFonts w:hint="eastAsia"/>
          <w:sz w:val="28"/>
          <w:szCs w:val="28"/>
        </w:rPr>
        <w:t>和地面</w:t>
      </w:r>
      <w:r w:rsidRPr="00C932BC">
        <w:rPr>
          <w:rFonts w:hint="eastAsia"/>
          <w:sz w:val="28"/>
          <w:szCs w:val="28"/>
        </w:rPr>
        <w:t>随打随抹光</w:t>
      </w:r>
      <w:r w:rsidR="007E0D2E">
        <w:rPr>
          <w:rFonts w:hint="eastAsia"/>
          <w:sz w:val="28"/>
          <w:szCs w:val="28"/>
        </w:rPr>
        <w:t>都</w:t>
      </w:r>
      <w:r w:rsidRPr="00C932BC">
        <w:rPr>
          <w:rFonts w:hint="eastAsia"/>
          <w:sz w:val="28"/>
          <w:szCs w:val="28"/>
        </w:rPr>
        <w:t>未列项</w:t>
      </w:r>
      <w:r w:rsidR="007E0D2E">
        <w:rPr>
          <w:rFonts w:hint="eastAsia"/>
          <w:sz w:val="28"/>
          <w:szCs w:val="28"/>
        </w:rPr>
        <w:t>。实际施工过程中我方严格按照图纸要求进行施工。</w:t>
      </w:r>
      <w:r w:rsidR="00773896">
        <w:rPr>
          <w:rFonts w:hint="eastAsia"/>
          <w:sz w:val="28"/>
          <w:szCs w:val="28"/>
        </w:rPr>
        <w:t>本工程为单价合同，在合同12.1中做了如下规定：</w:t>
      </w:r>
      <w:r w:rsidR="00773896" w:rsidRPr="00773896">
        <w:rPr>
          <w:rFonts w:hint="eastAsia"/>
          <w:b/>
          <w:bCs/>
          <w:sz w:val="28"/>
          <w:szCs w:val="28"/>
        </w:rPr>
        <w:t>综合单价包含的风险范围：综合单价包含完成该子目项目特征、施工及质量验收规范、国家法律法规规定应当完成内容的人工费、材料费、机械费、管理费、利润和风险费。除第11.1款约定的市场价格波动调整合同价款及第1.13工程量清单错误的修正外，合同已标价工程量清单中以费率计算的通用措施（不含安全文明施工费）和以综合单价计算的单价措施按实计算，费率和综合单价不变；其它专用措施合同总价包干，不予调整。安全文明施工费、规费和税金为不可竞争费，结算时有规定的按照规定执行。如承包人工程量清单综合单价存在不合理偏高或偏低的情况，承包人应保持总价不变的情况调整不平衡报价。因分部分项工程量清单项目缺项、工程变更或项目特征不符引起新的工程量清单项目，其综合单价及对应的措施项目金额，由承包人提出，发包人认可，计价原则参考变更估价原则，经招标人委托的工程造价咨询机构审核，作为结算的依据。</w:t>
      </w:r>
      <w:r w:rsidR="00773896">
        <w:rPr>
          <w:rFonts w:hint="eastAsia"/>
          <w:sz w:val="28"/>
          <w:szCs w:val="28"/>
        </w:rPr>
        <w:t>在结算时</w:t>
      </w:r>
      <w:r w:rsidR="007E0D2E">
        <w:rPr>
          <w:rFonts w:hint="eastAsia"/>
          <w:sz w:val="28"/>
          <w:szCs w:val="28"/>
        </w:rPr>
        <w:t>并上报该部分</w:t>
      </w:r>
      <w:r w:rsidR="00773896">
        <w:rPr>
          <w:rFonts w:hint="eastAsia"/>
          <w:sz w:val="28"/>
          <w:szCs w:val="28"/>
        </w:rPr>
        <w:t>工程量及费用。</w:t>
      </w:r>
      <w:r w:rsidR="007E0D2E">
        <w:rPr>
          <w:rFonts w:hint="eastAsia"/>
          <w:sz w:val="28"/>
          <w:szCs w:val="28"/>
        </w:rPr>
        <w:t>在结算过程中，一审单位已</w:t>
      </w:r>
      <w:r w:rsidRPr="00C932BC">
        <w:rPr>
          <w:rFonts w:hint="eastAsia"/>
          <w:sz w:val="28"/>
          <w:szCs w:val="28"/>
        </w:rPr>
        <w:t>招标文件</w:t>
      </w:r>
      <w:r w:rsidR="007E0D2E">
        <w:rPr>
          <w:rFonts w:hint="eastAsia"/>
          <w:sz w:val="28"/>
          <w:szCs w:val="28"/>
        </w:rPr>
        <w:t>投标须知中有要求</w:t>
      </w:r>
      <w:r w:rsidRPr="00C932BC">
        <w:rPr>
          <w:rFonts w:hint="eastAsia"/>
          <w:sz w:val="28"/>
          <w:szCs w:val="28"/>
        </w:rPr>
        <w:t>各投标单位充分熟悉图纸，认真核对工程量清单，在投标答疑时提出工</w:t>
      </w:r>
      <w:r w:rsidRPr="00C932BC">
        <w:rPr>
          <w:rFonts w:hint="eastAsia"/>
          <w:sz w:val="28"/>
          <w:szCs w:val="28"/>
        </w:rPr>
        <w:lastRenderedPageBreak/>
        <w:t>程量清单中的漏项、漏量问题，否则将视图纸中的工程量已全部包含在工程量清单中，结算时投标人不得向发包人提出索赔</w:t>
      </w:r>
      <w:r w:rsidR="007E0D2E">
        <w:rPr>
          <w:rFonts w:hint="eastAsia"/>
          <w:sz w:val="28"/>
          <w:szCs w:val="28"/>
        </w:rPr>
        <w:t>为由</w:t>
      </w:r>
      <w:r w:rsidRPr="00C932BC">
        <w:rPr>
          <w:rFonts w:hint="eastAsia"/>
          <w:sz w:val="28"/>
          <w:szCs w:val="28"/>
        </w:rPr>
        <w:t>。</w:t>
      </w:r>
      <w:r w:rsidR="00773896">
        <w:rPr>
          <w:rFonts w:hint="eastAsia"/>
          <w:sz w:val="28"/>
          <w:szCs w:val="28"/>
        </w:rPr>
        <w:t>将该部分费用</w:t>
      </w:r>
      <w:r w:rsidR="00F751F6">
        <w:rPr>
          <w:rFonts w:hint="eastAsia"/>
          <w:sz w:val="28"/>
          <w:szCs w:val="28"/>
        </w:rPr>
        <w:t>全部审减，请问专家是否应该按照合同调增因清单项目特征不符增加费用。</w:t>
      </w:r>
    </w:p>
    <w:p w14:paraId="5BAE52AD" w14:textId="7B8D0A76" w:rsidR="00F751F6" w:rsidRPr="00F751F6" w:rsidRDefault="00F751F6" w:rsidP="00F751F6">
      <w:pPr>
        <w:pStyle w:val="a9"/>
        <w:numPr>
          <w:ilvl w:val="0"/>
          <w:numId w:val="1"/>
        </w:numPr>
        <w:rPr>
          <w:rFonts w:hint="eastAsia"/>
          <w:sz w:val="28"/>
          <w:szCs w:val="28"/>
        </w:rPr>
      </w:pPr>
      <w:r w:rsidRPr="00F751F6">
        <w:rPr>
          <w:rFonts w:hint="eastAsia"/>
          <w:sz w:val="28"/>
          <w:szCs w:val="28"/>
        </w:rPr>
        <w:t>图纸做法</w:t>
      </w:r>
    </w:p>
    <w:p w14:paraId="31A2A16D" w14:textId="135581EC" w:rsidR="00F751F6" w:rsidRDefault="00F751F6" w:rsidP="00C932BC">
      <w:pPr>
        <w:rPr>
          <w:sz w:val="28"/>
          <w:szCs w:val="28"/>
        </w:rPr>
      </w:pPr>
      <w:r w:rsidRPr="00F751F6">
        <w:rPr>
          <w:noProof/>
          <w:sz w:val="28"/>
          <w:szCs w:val="28"/>
        </w:rPr>
        <w:drawing>
          <wp:inline distT="0" distB="0" distL="0" distR="0" wp14:anchorId="5265E97D" wp14:editId="4E358DC3">
            <wp:extent cx="5274310" cy="1901825"/>
            <wp:effectExtent l="0" t="0" r="2540" b="3175"/>
            <wp:docPr id="14060192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720B6" w14:textId="1E85DABB" w:rsidR="00F751F6" w:rsidRDefault="00F751F6" w:rsidP="00C932B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2.合同条款</w:t>
      </w:r>
    </w:p>
    <w:p w14:paraId="6F901544" w14:textId="043EE4C0" w:rsidR="00F751F6" w:rsidRDefault="00F751F6" w:rsidP="00C932BC">
      <w:pPr>
        <w:rPr>
          <w:sz w:val="28"/>
          <w:szCs w:val="28"/>
        </w:rPr>
      </w:pPr>
      <w:r w:rsidRPr="00F751F6">
        <w:rPr>
          <w:noProof/>
          <w:sz w:val="28"/>
          <w:szCs w:val="28"/>
        </w:rPr>
        <w:drawing>
          <wp:inline distT="0" distB="0" distL="0" distR="0" wp14:anchorId="50BFBF70" wp14:editId="65E8B0DE">
            <wp:extent cx="5274310" cy="3373755"/>
            <wp:effectExtent l="0" t="0" r="2540" b="0"/>
            <wp:docPr id="15465445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C397B" w14:textId="210A62A0" w:rsidR="00F751F6" w:rsidRDefault="00F751F6" w:rsidP="00C932BC">
      <w:pPr>
        <w:rPr>
          <w:sz w:val="28"/>
          <w:szCs w:val="28"/>
        </w:rPr>
      </w:pPr>
      <w:r w:rsidRPr="00F751F6">
        <w:rPr>
          <w:noProof/>
          <w:sz w:val="28"/>
          <w:szCs w:val="28"/>
        </w:rPr>
        <w:lastRenderedPageBreak/>
        <w:drawing>
          <wp:inline distT="0" distB="0" distL="0" distR="0" wp14:anchorId="62B5564A" wp14:editId="58A9FB57">
            <wp:extent cx="5274310" cy="1076960"/>
            <wp:effectExtent l="0" t="0" r="2540" b="8890"/>
            <wp:docPr id="7111681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D35D5" w14:textId="561E8A9D" w:rsidR="00F751F6" w:rsidRDefault="00F751F6" w:rsidP="00C932B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3.招标文件条款</w:t>
      </w:r>
    </w:p>
    <w:p w14:paraId="229C473A" w14:textId="7A944AB6" w:rsidR="005F44AE" w:rsidRPr="00C932BC" w:rsidRDefault="00F751F6" w:rsidP="00C932BC">
      <w:pPr>
        <w:rPr>
          <w:rFonts w:hint="eastAsia"/>
          <w:sz w:val="28"/>
          <w:szCs w:val="28"/>
        </w:rPr>
      </w:pPr>
      <w:r w:rsidRPr="00F751F6">
        <w:rPr>
          <w:noProof/>
          <w:sz w:val="28"/>
          <w:szCs w:val="28"/>
        </w:rPr>
        <w:drawing>
          <wp:inline distT="0" distB="0" distL="0" distR="0" wp14:anchorId="7579D21F" wp14:editId="22A3D020">
            <wp:extent cx="5274310" cy="754380"/>
            <wp:effectExtent l="0" t="0" r="2540" b="7620"/>
            <wp:docPr id="16931074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44AE" w:rsidRPr="00C932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61127"/>
    <w:multiLevelType w:val="hybridMultilevel"/>
    <w:tmpl w:val="4B50D560"/>
    <w:lvl w:ilvl="0" w:tplc="50F2EA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9246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2BC"/>
    <w:rsid w:val="003F5FA7"/>
    <w:rsid w:val="005F44AE"/>
    <w:rsid w:val="00773896"/>
    <w:rsid w:val="007E0D2E"/>
    <w:rsid w:val="00C932BC"/>
    <w:rsid w:val="00C966C7"/>
    <w:rsid w:val="00F7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C873"/>
  <w15:chartTrackingRefBased/>
  <w15:docId w15:val="{845688DC-49A6-4C83-95ED-3211F111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32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2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2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2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2B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2B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2B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2B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32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3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3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32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32B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932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32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32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32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32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3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2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32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32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32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32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32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3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32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32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391</Words>
  <Characters>416</Characters>
  <Application>Microsoft Office Word</Application>
  <DocSecurity>0</DocSecurity>
  <Lines>23</Lines>
  <Paragraphs>16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永宏 范</dc:creator>
  <cp:keywords/>
  <dc:description/>
  <cp:lastModifiedBy>永宏 范</cp:lastModifiedBy>
  <cp:revision>1</cp:revision>
  <dcterms:created xsi:type="dcterms:W3CDTF">2026-09-01T08:37:00Z</dcterms:created>
  <dcterms:modified xsi:type="dcterms:W3CDTF">2026-09-01T09:21:00Z</dcterms:modified>
</cp:coreProperties>
</file>