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2D731">
      <w:r>
        <w:drawing>
          <wp:inline distT="0" distB="0" distL="114300" distR="114300">
            <wp:extent cx="5249545" cy="777875"/>
            <wp:effectExtent l="0" t="0" r="825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D4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797560"/>
            <wp:effectExtent l="0" t="0" r="1206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587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地面四：</w:t>
      </w:r>
      <w:r>
        <w:rPr>
          <w:rFonts w:hint="eastAsia" w:ascii="仿宋" w:hAnsi="仿宋" w:eastAsia="仿宋" w:cs="仿宋"/>
          <w:sz w:val="28"/>
          <w:szCs w:val="28"/>
        </w:rPr>
        <w:t>钢筋砼底板(具体厚度及配筋见结构,抗渗等级P6,C30混凝土)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单独列清单项，随打随抹光未列项，结算是否计取。</w:t>
      </w:r>
    </w:p>
    <w:p w14:paraId="0C8586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招标文件约定：</w:t>
      </w:r>
      <w:r>
        <w:rPr>
          <w:rFonts w:hint="eastAsia" w:ascii="仿宋" w:hAnsi="仿宋" w:eastAsia="仿宋" w:cs="仿宋"/>
          <w:sz w:val="28"/>
          <w:szCs w:val="28"/>
        </w:rPr>
        <w:t>各投标单位充分熟悉图纸，认真核对工程量清单，在投标答疑时提出工程量清单中的漏项、漏量问题，否则将视图纸中的工程量已全部包含在工程量清单中，结算时投标人不得向发包人提出索赔。</w:t>
      </w:r>
    </w:p>
    <w:p w14:paraId="02280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drawing>
          <wp:inline distT="0" distB="0" distL="114300" distR="114300">
            <wp:extent cx="5268595" cy="759460"/>
            <wp:effectExtent l="0" t="0" r="190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E41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招标图纸与竣工图纸一致，此部分未变更。合同为固定单价合同。</w:t>
      </w:r>
    </w:p>
    <w:p w14:paraId="726626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1473835"/>
            <wp:effectExtent l="0" t="0" r="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A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2026-08-31T05:36:25Z</dcterms:created>
  <dc:creator>Caorq</dc:creator>
  <cp:lastModifiedBy>木</cp:lastModifiedBy>
  <dcterms:modified xsi:type="dcterms:W3CDTF">2026-08-31T05:50:35Z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eyJoZGlkIjoiOGFhMTRjNDc5Zjc4ZWQ5NGQzNzJkZWM4NzBiNjYxZTYiLCJ1c2VySWQiOiIxMjU1MjMxMzYzIn0=</vt:lpwstr>
  </property>
  <property fmtid="{D5CDD505-2E9C-101B-9397-08002B2CF9AE}" pid="4" name="ICV">
    <vt:lpwstr>31711AF6622F40B0814161F2926F86A4_12</vt:lpwstr>
  </property>
</Properties>
</file>