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2B3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电力电缆终端头进入配电箱预留1.5米检修余量；变电所进线、出线预留1.5米规范规定最小值；高压开关柜及低压配电盘、柜预留2.0m盘不进出线；电缆至电动机预留0.5m从电缆至电动机；以上内容现场未进行预留，该部分预留工程量可否纳入本次结算？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28620"/>
            <wp:effectExtent l="0" t="0" r="10160" b="5080"/>
            <wp:docPr id="1" name="图片 1" descr="338e6121-311f-4fcc-be48-df2af4ffbe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8e6121-311f-4fcc-be48-df2af4ffbe9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C59F7"/>
    <w:rsid w:val="41B1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2026-08-15T07:51:00Z</dcterms:created>
  <dc:creator>Administrator</dc:creator>
  <cp:lastModifiedBy>王工</cp:lastModifiedBy>
  <dcterms:modified xsi:type="dcterms:W3CDTF">2026-08-15T07:52:56Z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eyJoZGlkIjoiZDZhYzA4NzU3YjkwZDFmNzUwMDY3ODgzYzExMTNmOGMiLCJ1c2VySWQiOiI2MTgzOTMwMTgifQ==</vt:lpwstr>
  </property>
  <property fmtid="{D5CDD505-2E9C-101B-9397-08002B2CF9AE}" pid="4" name="ICV">
    <vt:lpwstr>721792D66DE643E8A1491B1CC665DE75_12</vt:lpwstr>
  </property>
</Properties>
</file>