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A2962" w14:textId="26C9F8E2" w:rsidR="00C60983" w:rsidRDefault="00C60983" w:rsidP="00C60983">
      <w:pPr>
        <w:pStyle w:val="a9"/>
        <w:numPr>
          <w:ilvl w:val="0"/>
          <w:numId w:val="1"/>
        </w:numPr>
      </w:pPr>
      <w:r>
        <w:rPr>
          <w:rFonts w:hint="eastAsia"/>
        </w:rPr>
        <w:t>外墙玻璃幕外：铝合金装饰线条400*150（</w:t>
      </w:r>
      <w:r w:rsidRPr="00C60983">
        <w:t>13.465kg/m</w:t>
      </w:r>
      <w:r>
        <w:rPr>
          <w:rFonts w:hint="eastAsia"/>
        </w:rPr>
        <w:t>）/80*80（</w:t>
      </w:r>
      <w:r w:rsidRPr="00C60983">
        <w:t>1.107kg/m</w:t>
      </w:r>
      <w:r>
        <w:rPr>
          <w:rFonts w:hint="eastAsia"/>
        </w:rPr>
        <w:t>）：</w:t>
      </w:r>
      <w:proofErr w:type="gramStart"/>
      <w:r>
        <w:rPr>
          <w:rFonts w:hint="eastAsia"/>
        </w:rPr>
        <w:t>套哪项</w:t>
      </w:r>
      <w:proofErr w:type="gramEnd"/>
      <w:r>
        <w:rPr>
          <w:rFonts w:hint="eastAsia"/>
        </w:rPr>
        <w:t>定额合适</w:t>
      </w:r>
      <w:r>
        <w:rPr>
          <w:noProof/>
        </w:rPr>
        <w:drawing>
          <wp:inline distT="0" distB="0" distL="0" distR="0" wp14:anchorId="39DE1E30" wp14:editId="1938FD58">
            <wp:extent cx="5257800" cy="3486150"/>
            <wp:effectExtent l="0" t="0" r="0" b="0"/>
            <wp:docPr id="6309189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91898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EB0B3" w14:textId="6611A840" w:rsidR="00C60983" w:rsidRDefault="00C60983" w:rsidP="00C60983">
      <w:pPr>
        <w:pStyle w:val="a9"/>
        <w:numPr>
          <w:ilvl w:val="0"/>
          <w:numId w:val="1"/>
        </w:numPr>
      </w:pPr>
      <w:r>
        <w:rPr>
          <w:rFonts w:hint="eastAsia"/>
        </w:rPr>
        <w:t>如果以上两种线条为弧形，该如何考虑？</w:t>
      </w:r>
    </w:p>
    <w:p w14:paraId="4C8EB144" w14:textId="4745AABD" w:rsidR="00C60983" w:rsidRDefault="00135815" w:rsidP="00C60983">
      <w:pPr>
        <w:pStyle w:val="a9"/>
        <w:numPr>
          <w:ilvl w:val="0"/>
          <w:numId w:val="1"/>
        </w:numPr>
      </w:pPr>
      <w:r>
        <w:rPr>
          <w:rFonts w:hint="eastAsia"/>
        </w:rPr>
        <w:t>玻璃</w:t>
      </w:r>
      <w:proofErr w:type="gramStart"/>
      <w:r>
        <w:rPr>
          <w:rFonts w:hint="eastAsia"/>
        </w:rPr>
        <w:t>栏板下铝单板</w:t>
      </w:r>
      <w:proofErr w:type="gramEnd"/>
      <w:r>
        <w:rPr>
          <w:rFonts w:hint="eastAsia"/>
        </w:rPr>
        <w:t>哪项定额适用：</w:t>
      </w:r>
      <w:r>
        <w:rPr>
          <w:noProof/>
        </w:rPr>
        <w:drawing>
          <wp:inline distT="0" distB="0" distL="0" distR="0" wp14:anchorId="56B3EB34" wp14:editId="06FDF090">
            <wp:extent cx="4886325" cy="3038475"/>
            <wp:effectExtent l="0" t="0" r="9525" b="9525"/>
            <wp:docPr id="15883455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34555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7A819" w14:textId="77777777" w:rsidR="00135815" w:rsidRPr="00C60983" w:rsidRDefault="00135815" w:rsidP="00D11A65">
      <w:pPr>
        <w:pStyle w:val="a9"/>
        <w:ind w:left="360"/>
        <w:rPr>
          <w:rFonts w:hint="eastAsia"/>
        </w:rPr>
      </w:pPr>
    </w:p>
    <w:sectPr w:rsidR="00135815" w:rsidRPr="00C609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AB7C97"/>
    <w:multiLevelType w:val="hybridMultilevel"/>
    <w:tmpl w:val="58F07CC4"/>
    <w:lvl w:ilvl="0" w:tplc="48704C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04266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983"/>
    <w:rsid w:val="00135815"/>
    <w:rsid w:val="00C60983"/>
    <w:rsid w:val="00CA4BE5"/>
    <w:rsid w:val="00D1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6201F"/>
  <w15:chartTrackingRefBased/>
  <w15:docId w15:val="{6E926DDD-4985-4BA9-B2D3-FCF3FF3FA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6098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98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098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098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0983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098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098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098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098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609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609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6098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6098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6098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6098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6098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6098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6098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60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098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6098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0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609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09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6098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609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6098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609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2026-08-10T03:25:00Z</dcterms:created>
  <dcterms:modified xsi:type="dcterms:W3CDTF">2026-08-10T03:36:00Z</dcterms:modified>
</cp:coreProperties>
</file>