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14544">
      <w:pPr>
        <w:ind w:firstLine="640" w:firstLineChars="200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轨道交通2017定额中，</w:t>
      </w:r>
      <w:bookmarkStart w:id="0" w:name="_GoBack"/>
      <w:bookmarkEnd w:id="0"/>
      <w:r>
        <w:rPr>
          <w:rFonts w:hint="eastAsia"/>
          <w:sz w:val="32"/>
          <w:szCs w:val="40"/>
          <w:lang w:val="en-US" w:eastAsia="zh-CN"/>
        </w:rPr>
        <w:t>定额G6-0460中材料只有镀锌托板、托架，无螺栓、冲击钻头，机械没有打孔电锤、起重机、轨道车等。</w:t>
      </w:r>
    </w:p>
    <w:p w14:paraId="4DA03BC0">
      <w:pPr>
        <w:ind w:firstLine="640" w:firstLineChars="200"/>
        <w:rPr>
          <w:rFonts w:hint="default" w:eastAsiaTheme="minor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弱电6层支架安装与强电（供电）6层支架运输方式、施工工序、安装位置、安装方式完全一致（详见施工图片），均需要起重机将支架调入轨道车运输至整个区间，然后隧道壁打孔植栓后安装紧固调整电缆支架。请问弱电6层支架安装是否可以使用定额G8-0460</w:t>
      </w:r>
    </w:p>
    <w:p w14:paraId="2681D8C1"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4629785" cy="2300605"/>
            <wp:effectExtent l="0" t="0" r="8890" b="44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9785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637405" cy="3323590"/>
            <wp:effectExtent l="0" t="0" r="1270" b="63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7405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990D6"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9230" cy="7028180"/>
            <wp:effectExtent l="0" t="0" r="7620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45705"/>
    <w:rsid w:val="2E4B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156</Words>
  <Characters>168</Characters>
  <Lines>0</Lines>
  <Paragraphs>0</Paragraphs>
  <TotalTime>42</TotalTime>
  <ScaleCrop>false</ScaleCrop>
  <LinksUpToDate>false</LinksUpToDate>
  <CharactersWithSpaces>168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2026-07-16T06:30:00Z</dcterms:created>
  <dc:creator>94867</dc:creator>
  <cp:lastModifiedBy>张工</cp:lastModifiedBy>
  <dcterms:modified xsi:type="dcterms:W3CDTF">2026-07-16T07:16:46Z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eyJoZGlkIjoiMzg2YTg2YTI0OTZmN2M5NWY0YTg0ZjUzYWM4ZjM5MDciLCJ1c2VySWQiOiIxODYzNjg4MjU4In0=</vt:lpwstr>
  </property>
  <property fmtid="{D5CDD505-2E9C-101B-9397-08002B2CF9AE}" pid="4" name="ICV">
    <vt:lpwstr>F08C17140CF44C6EA44EABE6AF8BA354_12</vt:lpwstr>
  </property>
</Properties>
</file>