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5A52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1774825"/>
            <wp:effectExtent l="0" t="0" r="5715" b="8255"/>
            <wp:docPr id="1" name="图片 1" descr="d0d56972-7cb8-4e2a-af9b-909636dc54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0d56972-7cb8-4e2a-af9b-909636dc547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D04A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吉林省2019定额，关于钢结构的屋面彩钢夹芯板以及墙面彩钢夹芯板的定额套取，是直接套取彩钢夹芯板？还是按照构造做法分别套取？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854234"/>
    <w:rsid w:val="34854234"/>
    <w:rsid w:val="61BB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2026-06-26T11:23:00Z</dcterms:created>
  <dc:creator>哄哄</dc:creator>
  <cp:lastModifiedBy>哄哄</cp:lastModifiedBy>
  <dcterms:modified xsi:type="dcterms:W3CDTF">2026-06-26T11:24:27Z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8E687BAFDF3B4B0081A8123E11C58306_11</vt:lpwstr>
  </property>
  <property fmtid="{D5CDD505-2E9C-101B-9397-08002B2CF9AE}" pid="4" name="KSOTemplateDocerSaveRecord">
    <vt:lpwstr>eyJoZGlkIjoiN2U1OTU4OTkyZjA4NDA5MDU1OGY4NTFiNTIzOTliNTAiLCJ1c2VySWQiOiIxMDE5ODYwMjk5In0=</vt:lpwstr>
  </property>
</Properties>
</file>