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21FBE">
      <w:pPr>
        <w:widowControl w:val="0"/>
        <w:kinsoku/>
        <w:autoSpaceDE/>
        <w:autoSpaceDN/>
        <w:adjustRightInd/>
        <w:snapToGrid/>
        <w:spacing w:line="620" w:lineRule="exact"/>
        <w:textAlignment w:val="auto"/>
        <w:rPr>
          <w:rFonts w:hint="eastAsia" w:ascii="仿宋_GB2312" w:hAnsi="方正仿宋_GB2312" w:eastAsia="仿宋_GB2312" w:cs="方正仿宋_GB2312"/>
          <w:color w:val="auto"/>
          <w:sz w:val="32"/>
          <w:szCs w:val="32"/>
          <w:lang w:eastAsia="zh-CN"/>
        </w:rPr>
      </w:pPr>
      <w:r>
        <w:rPr>
          <w:rFonts w:hint="eastAsia" w:ascii="黑体" w:hAnsi="黑体" w:eastAsia="黑体" w:cs="方正仿宋_GB2312"/>
          <w:color w:val="auto"/>
          <w:sz w:val="32"/>
          <w:szCs w:val="32"/>
          <w:lang w:eastAsia="zh-CN"/>
        </w:rPr>
        <w:t>附件：</w:t>
      </w:r>
    </w:p>
    <w:p w14:paraId="1546398F">
      <w:pPr>
        <w:widowControl w:val="0"/>
        <w:autoSpaceDN/>
        <w:spacing w:line="620" w:lineRule="exact"/>
        <w:jc w:val="center"/>
        <w:rPr>
          <w:rFonts w:hint="eastAsia" w:ascii="黑体" w:hAnsi="黑体" w:eastAsia="黑体" w:cs="黑体"/>
          <w:color w:val="auto"/>
          <w:kern w:val="2"/>
          <w:sz w:val="32"/>
          <w:szCs w:val="32"/>
          <w:lang w:eastAsia="zh-CN" w:bidi="ar"/>
        </w:rPr>
      </w:pPr>
      <w:r>
        <w:rPr>
          <w:rFonts w:hint="eastAsia" w:ascii="黑体" w:hAnsi="黑体" w:eastAsia="黑体" w:cs="黑体"/>
          <w:color w:val="auto"/>
          <w:kern w:val="2"/>
          <w:sz w:val="32"/>
          <w:szCs w:val="32"/>
          <w:lang w:val="en-US" w:eastAsia="zh-CN" w:bidi="ar"/>
        </w:rPr>
        <w:t xml:space="preserve"> </w:t>
      </w:r>
      <w:r>
        <w:rPr>
          <w:rFonts w:hint="eastAsia" w:ascii="黑体" w:hAnsi="黑体" w:eastAsia="黑体" w:cs="黑体"/>
          <w:color w:val="auto"/>
          <w:kern w:val="2"/>
          <w:sz w:val="32"/>
          <w:szCs w:val="32"/>
          <w:lang w:eastAsia="zh-CN" w:bidi="ar"/>
        </w:rPr>
        <w:t>关于执行《建设工程工程量清单计价标准》</w:t>
      </w:r>
    </w:p>
    <w:p w14:paraId="5D84877E">
      <w:pPr>
        <w:widowControl w:val="0"/>
        <w:autoSpaceDN/>
        <w:spacing w:line="620" w:lineRule="exact"/>
        <w:jc w:val="center"/>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
        </w:rPr>
        <w:t xml:space="preserve"> </w:t>
      </w:r>
      <w:r>
        <w:rPr>
          <w:rFonts w:hint="eastAsia" w:ascii="黑体" w:hAnsi="黑体" w:eastAsia="黑体" w:cs="黑体"/>
          <w:color w:val="auto"/>
          <w:kern w:val="2"/>
          <w:sz w:val="32"/>
          <w:szCs w:val="32"/>
          <w:lang w:eastAsia="zh-CN" w:bidi="ar"/>
        </w:rPr>
        <w:t>及配套工程量计算标准的实施意见</w:t>
      </w:r>
    </w:p>
    <w:p w14:paraId="0B680762">
      <w:pPr>
        <w:widowControl w:val="0"/>
        <w:autoSpaceDN/>
        <w:spacing w:line="620" w:lineRule="exact"/>
        <w:ind w:firstLine="600" w:firstLineChars="200"/>
        <w:jc w:val="left"/>
        <w:rPr>
          <w:rFonts w:hint="eastAsia" w:ascii="黑体" w:hAnsi="黑体" w:eastAsia="黑体" w:cs="黑体"/>
          <w:color w:val="auto"/>
          <w:kern w:val="2"/>
          <w:sz w:val="30"/>
          <w:szCs w:val="30"/>
          <w:lang w:eastAsia="zh-CN" w:bidi="ar"/>
        </w:rPr>
      </w:pPr>
      <w:r>
        <w:rPr>
          <w:rFonts w:hint="eastAsia" w:ascii="黑体" w:hAnsi="黑体" w:eastAsia="黑体" w:cs="黑体"/>
          <w:color w:val="auto"/>
          <w:kern w:val="2"/>
          <w:sz w:val="30"/>
          <w:szCs w:val="30"/>
          <w:lang w:eastAsia="zh-CN" w:bidi="ar"/>
        </w:rPr>
        <w:t>一、适用要求</w:t>
      </w:r>
    </w:p>
    <w:p w14:paraId="7B21CAB2">
      <w:pPr>
        <w:pStyle w:val="2"/>
        <w:keepNext w:val="0"/>
        <w:keepLines w:val="0"/>
        <w:pageBreakBefore w:val="0"/>
        <w:widowControl w:val="0"/>
        <w:kinsoku/>
        <w:wordWrap/>
        <w:overflowPunct/>
        <w:topLinePunct w:val="0"/>
        <w:autoSpaceDE/>
        <w:autoSpaceDN/>
        <w:bidi w:val="0"/>
        <w:adjustRightInd/>
        <w:snapToGrid/>
        <w:spacing w:line="520" w:lineRule="exact"/>
        <w:ind w:left="34" w:firstLine="641"/>
        <w:jc w:val="both"/>
        <w:textAlignment w:val="auto"/>
        <w:rPr>
          <w:rFonts w:hint="eastAsia"/>
          <w:spacing w:val="1"/>
          <w:sz w:val="28"/>
          <w:szCs w:val="28"/>
          <w:lang w:val="en-US" w:eastAsia="zh-CN"/>
        </w:rPr>
      </w:pPr>
      <w:r>
        <w:rPr>
          <w:rFonts w:hint="eastAsia"/>
          <w:spacing w:val="1"/>
          <w:sz w:val="28"/>
          <w:szCs w:val="28"/>
          <w:lang w:val="en-US" w:eastAsia="zh-CN"/>
        </w:rPr>
        <w:t>本省行政区域内新建、扩建和改建的房屋建筑（含装饰装修工程、房屋修缮工程）和市政基础设施工程，在施工发承包及实施阶段的计价活动，依据《建设工程工程量清单计价标准》（GB/T 50500-2024，以下简称《计价标准》）和《房屋建筑与装饰工程工程量清单计算标准》（GB/T 50854-2024）等配套工程量计算标准（以下简称《计量标准》）计量计价的，应执行本实施意见；选择其他清单形式计量计价的，可参照执行。</w:t>
      </w:r>
    </w:p>
    <w:p w14:paraId="598E654B">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二、计价相关事项</w:t>
      </w:r>
    </w:p>
    <w:p w14:paraId="7A5DB7AF">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按照吉林省住房和城乡建设厅《关于对吉林省建设工程定额进行动态调整的通知》（吉建造〔2025〕8号）要求，2025年8月1日起执行动态调整后的吉林省建设工程定额和定额勘误表，以下简称“现行定额”。</w:t>
      </w:r>
    </w:p>
    <w:p w14:paraId="0220E3F0">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三、计量相关事项</w:t>
      </w:r>
    </w:p>
    <w:p w14:paraId="7606B4D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（一）执行现行定额编审最高投标限价、投标报价及工程结算的，其组价定额工程量执行现行定额工程量计算规则。</w:t>
      </w:r>
    </w:p>
    <w:p w14:paraId="4468D7D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（二）执行现行定额编制工程量清单及最高投标限价的，清单工程量及项目特征应体现组价的定额工程量。</w:t>
      </w:r>
    </w:p>
    <w:p w14:paraId="4ABC7048">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三）工程量清单编制应符合国家及省级、行业建设主管部门颁发的工程计量与计价相关规定，以及根据工程需要补充的工程量计算规则。需要根据现行定额工程量计算规则调整清单的，可保持清单编号不变，计量单位按相应定额单位的基本单位，工程量计算规则执行相应定额工程量计算规则，并将相应定额编号在项目特征描述中注明。</w:t>
      </w:r>
    </w:p>
    <w:p w14:paraId="351572D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p>
    <w:p w14:paraId="16E198CA">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四、取费相关事项</w:t>
      </w:r>
    </w:p>
    <w:p w14:paraId="09654DED">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（一）单价措施项目：措施项目需要根据现行计价定额进行组价的，可列入分部分项工程项目清单，按相应定额基本单位（不包括“项”）为计量单位，以单价计价。危大工程措施按单价措施执行。</w:t>
      </w:r>
    </w:p>
    <w:p w14:paraId="4024866F">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（二）费率措施项目：措施项目需要根据现行费用定额总价措施费费率进行组价的，不体现计量单位，按费率计价。其中，安全生产措施费应按现行费用定额安全文明施工费中安全施工费相关规定进行计价。</w:t>
      </w:r>
    </w:p>
    <w:p w14:paraId="3F27FDDB">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（三）总价措施项目：措施项目除单价措施项目和费率措施项目以外其他总价措施项目，以“项”为计量单位，宜采用总价计价方式。</w:t>
      </w:r>
    </w:p>
    <w:p w14:paraId="7D9B097C">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（四）企业管理费及利润：编制最高投标限价可按现行费用定额规定费率计价。</w:t>
      </w:r>
    </w:p>
    <w:p w14:paraId="0B7902E5">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五、其他取费相关事项</w:t>
      </w:r>
    </w:p>
    <w:p w14:paraId="24FF4707">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_GB2312" w:hAnsi="方正仿宋_GB2312" w:eastAsia="仿宋_GB2312" w:cs="方正仿宋_GB2312"/>
          <w:color w:val="auto"/>
          <w:sz w:val="21"/>
          <w:szCs w:val="21"/>
          <w:lang w:eastAsia="zh-CN"/>
        </w:rPr>
      </w:pPr>
      <w:r>
        <w:rPr>
          <w:rFonts w:hint="eastAsia" w:ascii="仿宋" w:hAnsi="仿宋" w:eastAsia="仿宋" w:cs="仿宋"/>
          <w:spacing w:val="1"/>
          <w:kern w:val="2"/>
          <w:sz w:val="28"/>
          <w:szCs w:val="28"/>
          <w:lang w:val="en-US" w:eastAsia="zh-CN" w:bidi="ar-SA"/>
        </w:rPr>
        <w:t>（一）编制最高投标限价时，暂列金额（不含增值税进项税的暂估价款）可按分部分项工程项目合价的10%～15%参考计算。</w:t>
      </w:r>
    </w:p>
    <w:p w14:paraId="70BC25B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（二）专业工程暂估价已含增值税，不应再计取相应税金。</w:t>
      </w:r>
    </w:p>
    <w:p w14:paraId="5EED5B09">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三）编制最高投标限价时，招标人仅要求对分包的专业工程进行总承包管理和协调时，总承包服务费可按分包的专业工程造价的1.5%计算；招标人要求对分包的专业工程进行总承包管理和协调并同时要求提供配合服务时，根据招标文件中列出的配合服务内容和提出的要求，总承包服务费可按分包的专业工程造价的3%～5%计算；招标人自行供应材料的，总承包服务费可按招标人供应材料价值的1%计算。</w:t>
      </w:r>
    </w:p>
    <w:p w14:paraId="712A517C">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四）发包人要求按合同工程提前竣工的，应征得承包人同意后与承包人商定采取加快工程进度的措施，并应修订合同工程进度计划，发包人应承担承包人由此增加的提前竣工（赶工补偿）费用，按合同工期提前10%以上（不得超过定额工期的20%）的，提前竣工补偿的金额可按合同价款的5%为基础，协商确定。</w:t>
      </w:r>
    </w:p>
    <w:p w14:paraId="38B3A7BF">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五）发包人承担的计量与计价风险：采用单价合同的工程，发包人提供的除按项计价的总价措施项目清单外的项目清单存在工程量清单缺陷；发包人提供的工程项目原始数据和基准资料错误；发包人批准的工程变更；发包人要求的赶工、提前竣工、停工或暂缓施工；法律法规与政策性变化；超出招标文件规定承包人应承担的风险范围和幅度，以及《计价标准》第8.7节规定市场物价变动应予调整的物价变化范围和波动幅度；其他应当由发包人承担责任的事项。</w:t>
      </w:r>
    </w:p>
    <w:p w14:paraId="27975545">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（六）承包人承担的计量与计价风险：</w:t>
      </w:r>
      <w:r>
        <w:rPr>
          <w:rFonts w:hint="eastAsia"/>
          <w:color w:val="0000FF"/>
          <w:spacing w:val="1"/>
          <w:sz w:val="28"/>
          <w:szCs w:val="28"/>
          <w:lang w:val="en-US" w:eastAsia="zh-CN"/>
        </w:rPr>
        <w:t>按项计价的总价措施项目清单的准确性及完整性</w:t>
      </w:r>
      <w:r>
        <w:rPr>
          <w:rFonts w:hint="eastAsia"/>
          <w:spacing w:val="1"/>
          <w:sz w:val="28"/>
          <w:szCs w:val="28"/>
          <w:lang w:val="en-US" w:eastAsia="zh-CN"/>
        </w:rPr>
        <w:t>；采用总价合同的工程，已标价工程量清单存在的缺陷（单价计价的暂定数量清单项目除外），以及承包人为完成总价合同中合同图纸及合同规范所要求的工程、《计量标准》中工作内容说明的所有工作所需费用；</w:t>
      </w:r>
      <w:r>
        <w:rPr>
          <w:rFonts w:hint="eastAsia"/>
          <w:color w:val="0000FF"/>
          <w:spacing w:val="1"/>
          <w:sz w:val="28"/>
          <w:szCs w:val="28"/>
          <w:lang w:val="en-US" w:eastAsia="zh-CN"/>
        </w:rPr>
        <w:t>采用单价合同的工程，承包人为完成工程量清单及其项目特征所说明的工程、《计量标准》中工作内容说明的所有工作所需费用</w:t>
      </w:r>
      <w:r>
        <w:rPr>
          <w:rFonts w:hint="eastAsia"/>
          <w:spacing w:val="1"/>
          <w:sz w:val="28"/>
          <w:szCs w:val="28"/>
          <w:lang w:val="en-US" w:eastAsia="zh-CN"/>
        </w:rPr>
        <w:t>；承包人因自身原因引起实施方案变化引起的费用调整；承包人因施工机具使用、施工技术应用以及组织管理水平等自身原因造成的施工费用增加；承包人因自身原因引起的赶工、停工或暂缓施工；未超出招标文件、合同约定物价变化范围和波动幅度的市场物价变动；其他应当由承包人承担责任的事项。</w:t>
      </w:r>
    </w:p>
    <w:p w14:paraId="3FBC0D2B">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（七）编制最高投标限价时，其风险费按招标文件中划分的应由投标人承担的风险范围及其费用进行编制，</w:t>
      </w:r>
      <w:r>
        <w:rPr>
          <w:rFonts w:hint="eastAsia"/>
          <w:color w:val="0000FF"/>
          <w:spacing w:val="1"/>
          <w:sz w:val="28"/>
          <w:szCs w:val="28"/>
          <w:lang w:val="en-US" w:eastAsia="zh-CN"/>
        </w:rPr>
        <w:t>招标文件未明确的风险费按人工费、材料费、施工机具使用费的5%考虑。</w:t>
      </w:r>
    </w:p>
    <w:p w14:paraId="5F5F73B0">
      <w:pPr>
        <w:pStyle w:val="2"/>
        <w:keepNext w:val="0"/>
        <w:keepLines w:val="0"/>
        <w:pageBreakBefore w:val="0"/>
        <w:widowControl w:val="0"/>
        <w:kinsoku/>
        <w:wordWrap/>
        <w:overflowPunct/>
        <w:topLinePunct w:val="0"/>
        <w:autoSpaceDE/>
        <w:autoSpaceDN/>
        <w:bidi w:val="0"/>
        <w:adjustRightInd/>
        <w:snapToGrid/>
        <w:spacing w:line="520" w:lineRule="exact"/>
        <w:ind w:firstLine="564" w:firstLineChars="200"/>
        <w:jc w:val="both"/>
        <w:textAlignment w:val="auto"/>
        <w:rPr>
          <w:rFonts w:hint="eastAsia"/>
          <w:spacing w:val="1"/>
          <w:sz w:val="28"/>
          <w:szCs w:val="28"/>
          <w:lang w:val="en-US" w:eastAsia="zh-CN"/>
        </w:rPr>
      </w:pPr>
      <w:r>
        <w:rPr>
          <w:rFonts w:hint="eastAsia"/>
          <w:spacing w:val="1"/>
          <w:sz w:val="28"/>
          <w:szCs w:val="28"/>
          <w:lang w:val="en-US" w:eastAsia="zh-CN"/>
        </w:rPr>
        <w:t>（八）采用清单计价的工程，招标人发布招标文件时公布最高投标限价及其编制依据。每个招标工程只公布一个最高投标限价总价，投标人的投标报价不得高于最高投标限价，构成投标报价总造价的部分造价（包括单项工程、单位工程、分部分项工程、措施项目、安全文明施工费、其他项目、税金等）高于最高投标限价对应部分造价的，除招标文件明确规定外，不得作为废标条件。</w:t>
      </w:r>
    </w:p>
    <w:p w14:paraId="79D0CE02">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color w:val="0000FF"/>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（九）税金应以分部分项工程项目清单、措施项目清单、其他项目清单（专业工程暂估价除外）的合计金额作为计算基础，按现行定额的规定计算。</w:t>
      </w:r>
      <w:r>
        <w:rPr>
          <w:rFonts w:hint="eastAsia" w:ascii="仿宋" w:hAnsi="仿宋" w:eastAsia="仿宋" w:cs="仿宋"/>
          <w:color w:val="0000FF"/>
          <w:spacing w:val="1"/>
          <w:kern w:val="2"/>
          <w:sz w:val="28"/>
          <w:szCs w:val="28"/>
          <w:lang w:val="en-US" w:eastAsia="zh-CN" w:bidi="ar-SA"/>
        </w:rPr>
        <w:t>招标文件应明确要求招标工程投标报价执行一般计税法还是简易计税法计价。</w:t>
      </w:r>
    </w:p>
    <w:p w14:paraId="58197AD3">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w:t>
      </w:r>
      <w:r>
        <w:rPr>
          <w:rFonts w:hint="eastAsia" w:ascii="仿宋" w:hAnsi="仿宋" w:eastAsia="仿宋" w:cs="仿宋"/>
          <w:color w:val="0000FF"/>
          <w:spacing w:val="1"/>
          <w:kern w:val="2"/>
          <w:sz w:val="28"/>
          <w:szCs w:val="28"/>
          <w:lang w:val="en-US" w:eastAsia="zh-CN" w:bidi="ar-SA"/>
        </w:rPr>
        <w:t>建设工程的施工发承包，应在招标文件、合同中明确计量与计价的风险内容及其范围，不得采用无限风险、所有风险或类似语句约定工程计量与计价中的风险内容及范围。</w:t>
      </w:r>
    </w:p>
    <w:p w14:paraId="3A25D82C">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一）合同工程实施期间，在合同基准日后发生法律法规及政策性变化引起合同价款增减变化的，发承包双方应按合同约定和省级建设主管部门及其授权的工程造价管理机构发布的规定（人工费和机械费调整文件、材料价格调整文件、安全文明施工费调整文件、增值税调整文件等）调整合同价格。</w:t>
      </w:r>
    </w:p>
    <w:p w14:paraId="1F66930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二）采用单价合同的工程，工程变更或工程量清单缺陷引起分部分项工程的清单项目变化（项目增减），或清单工程量发生变化且工程量变化不超出15%（含15%）时，合同分部分项工程量清单按《计价标准》8.9.1规定确定综合单价并计价，调整合同价格，措施项目清单除安全生产措施项目等费率措施项目清单及单价措施项目清单允许调整外，按项计价的总价措施项目清单不予调整；清单工程量发生变化且工程量变化超出15%（不含15%）时，合同分部分项工程清单按《计价标准》8.9.2规定调整合同价格。</w:t>
      </w:r>
    </w:p>
    <w:p w14:paraId="1A41BB0E">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六、《计价标准》表格有关事项</w:t>
      </w:r>
    </w:p>
    <w:p w14:paraId="4FC3DE34">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（一）《计价标准》表格中的“标段：”“注：、注的内容”均删除。</w:t>
      </w:r>
    </w:p>
    <w:p w14:paraId="2880604C">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（二）表C.1.1招标工程量清单扉页、表C.2.1最高投标限价扉页及表C.4.1竣工（过程）结算价扉页中“编制人：（造价专业人员签字及盖章）”修改为“编制人：（造价专业人员签字或盖章）”。</w:t>
      </w:r>
    </w:p>
    <w:p w14:paraId="3C3A3EE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（三）表C.3.1投标总价扉页中“编制人：（签字及盖章）”修改为“编制人：（造价专业人员签字或盖章）”。</w:t>
      </w:r>
    </w:p>
    <w:p w14:paraId="53801F25">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（四）表D.1.1最高投标限价编制（审核）说明，修改为：招标工程量清单（最高投标限价）编制（审核）说明。</w:t>
      </w:r>
    </w:p>
    <w:p w14:paraId="1C391E76">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（五）表D.2.1投标报价填报说明修改为：投标报价编制说明。</w:t>
      </w:r>
    </w:p>
    <w:p w14:paraId="28E3A66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（六）删除表D.4.1工程量清单计算规则说明，相关内容并入相应编制（审核）说明。</w:t>
      </w:r>
    </w:p>
    <w:p w14:paraId="6484DEE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（七）表E.1.1工程项目清单汇总表修改为：</w:t>
      </w:r>
    </w:p>
    <w:p w14:paraId="3BF516FC">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E.1.1</w:t>
      </w:r>
      <w:r>
        <w:rPr>
          <w:rFonts w:hint="eastAsia" w:ascii="仿宋" w:hAnsi="仿宋" w:eastAsia="仿宋" w:cs="仿宋"/>
          <w:b/>
          <w:bCs/>
          <w:color w:val="auto"/>
          <w:sz w:val="28"/>
          <w:szCs w:val="28"/>
          <w:lang w:val="en-US" w:eastAsia="zh-CN"/>
        </w:rPr>
        <w:t xml:space="preserve"> 工程项目</w:t>
      </w:r>
      <w:r>
        <w:rPr>
          <w:rFonts w:hint="eastAsia" w:ascii="仿宋" w:hAnsi="仿宋" w:eastAsia="仿宋" w:cs="仿宋"/>
          <w:b/>
          <w:bCs/>
          <w:color w:val="auto"/>
          <w:sz w:val="28"/>
          <w:szCs w:val="28"/>
          <w:lang w:eastAsia="zh-CN"/>
        </w:rPr>
        <w:t>清单汇总表</w:t>
      </w:r>
    </w:p>
    <w:p w14:paraId="6877C6BC">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5"/>
        <w:gridCol w:w="2995"/>
      </w:tblGrid>
      <w:tr w14:paraId="3DDD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B0B9E7F">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1B68DF8B">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0281D9A">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7417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14575FE">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1F483121">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单项工程1</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60C9CF9D">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72F92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078C2C3">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4BD9A6BC">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单项工程2</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58882711">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7EE2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41CFF58">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59693634">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单项工程3</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3175B90F">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407C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A9948CA">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0EB81F5C">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EE0E58B">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1C25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49" w:type="dxa"/>
            <w:gridSpan w:val="2"/>
            <w:tcBorders>
              <w:top w:val="single" w:color="000000" w:sz="4" w:space="0"/>
              <w:left w:val="single" w:color="000000" w:sz="4" w:space="0"/>
              <w:bottom w:val="single" w:color="000000" w:sz="4" w:space="0"/>
              <w:right w:val="single" w:color="000000" w:sz="4" w:space="0"/>
            </w:tcBorders>
            <w:noWrap/>
            <w:vAlign w:val="center"/>
          </w:tcPr>
          <w:p w14:paraId="489CDEAC">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3C609A24">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bl>
    <w:p w14:paraId="4ED6C37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（八）增加表E.1.2单项工程清单汇总表。</w:t>
      </w:r>
    </w:p>
    <w:p w14:paraId="522545D6">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E.1.2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单</w:t>
      </w:r>
      <w:r>
        <w:rPr>
          <w:rFonts w:hint="eastAsia" w:ascii="仿宋" w:hAnsi="仿宋" w:eastAsia="仿宋" w:cs="仿宋"/>
          <w:b/>
          <w:bCs/>
          <w:color w:val="auto"/>
          <w:sz w:val="28"/>
          <w:szCs w:val="28"/>
          <w:lang w:val="en-US" w:eastAsia="zh-CN"/>
        </w:rPr>
        <w:t>项</w:t>
      </w:r>
      <w:r>
        <w:rPr>
          <w:rFonts w:hint="eastAsia" w:ascii="仿宋" w:hAnsi="仿宋" w:eastAsia="仿宋" w:cs="仿宋"/>
          <w:b/>
          <w:bCs/>
          <w:color w:val="auto"/>
          <w:sz w:val="28"/>
          <w:szCs w:val="28"/>
          <w:lang w:eastAsia="zh-CN"/>
        </w:rPr>
        <w:t>工程清单汇总表</w:t>
      </w:r>
    </w:p>
    <w:p w14:paraId="10D68099">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0"/>
        <w:gridCol w:w="3000"/>
      </w:tblGrid>
      <w:tr w14:paraId="3CE22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58E10F6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1333CA9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1456505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29CB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2A2007C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61C0A53C">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单位工程1</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539D01C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4CFC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05784482">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43E73C72">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单位工程2</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0AFF8EB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3D9E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68C88C3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4786C6D6">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单位工程</w:t>
            </w:r>
            <w:r>
              <w:rPr>
                <w:rFonts w:hint="eastAsia" w:ascii="宋体" w:hAnsi="宋体" w:eastAsia="宋体" w:cs="宋体"/>
                <w:color w:val="auto"/>
                <w:sz w:val="21"/>
                <w:szCs w:val="21"/>
                <w:lang w:val="en-US" w:eastAsia="zh-CN"/>
              </w:rPr>
              <w:t>3</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3F97E4C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52DD1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6FB6F3A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5520" w:type="dxa"/>
            <w:tcBorders>
              <w:top w:val="single" w:color="000000" w:sz="4" w:space="0"/>
              <w:left w:val="single" w:color="000000" w:sz="4" w:space="0"/>
              <w:bottom w:val="single" w:color="000000" w:sz="4" w:space="0"/>
              <w:right w:val="single" w:color="000000" w:sz="4" w:space="0"/>
            </w:tcBorders>
            <w:noWrap/>
            <w:vAlign w:val="top"/>
          </w:tcPr>
          <w:p w14:paraId="5931488B">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p>
        </w:tc>
        <w:tc>
          <w:tcPr>
            <w:tcW w:w="3000" w:type="dxa"/>
            <w:tcBorders>
              <w:top w:val="single" w:color="000000" w:sz="4" w:space="0"/>
              <w:left w:val="single" w:color="000000" w:sz="4" w:space="0"/>
              <w:bottom w:val="single" w:color="000000" w:sz="4" w:space="0"/>
              <w:right w:val="single" w:color="000000" w:sz="4" w:space="0"/>
            </w:tcBorders>
            <w:noWrap/>
            <w:vAlign w:val="top"/>
          </w:tcPr>
          <w:p w14:paraId="6FE23ED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B92D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44" w:type="dxa"/>
            <w:gridSpan w:val="2"/>
            <w:tcBorders>
              <w:top w:val="single" w:color="000000" w:sz="4" w:space="0"/>
              <w:left w:val="single" w:color="000000" w:sz="4" w:space="0"/>
              <w:bottom w:val="single" w:color="000000" w:sz="4" w:space="0"/>
              <w:right w:val="single" w:color="000000" w:sz="4" w:space="0"/>
            </w:tcBorders>
            <w:noWrap/>
            <w:vAlign w:val="top"/>
          </w:tcPr>
          <w:p w14:paraId="66745F7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7F75E5E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003BBFE3">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（九）增加表E.1.3单位工程清单汇总表。</w:t>
      </w:r>
    </w:p>
    <w:p w14:paraId="44EF69D6">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E.1.3</w:t>
      </w:r>
      <w:r>
        <w:rPr>
          <w:rFonts w:hint="eastAsia" w:ascii="仿宋" w:hAnsi="仿宋" w:eastAsia="仿宋" w:cs="仿宋"/>
          <w:b/>
          <w:bCs/>
          <w:color w:val="auto"/>
          <w:sz w:val="28"/>
          <w:szCs w:val="28"/>
          <w:lang w:val="en-US" w:eastAsia="zh-CN"/>
        </w:rPr>
        <w:t xml:space="preserve"> 单位工程清单</w:t>
      </w:r>
      <w:r>
        <w:rPr>
          <w:rFonts w:hint="eastAsia" w:ascii="仿宋" w:hAnsi="仿宋" w:eastAsia="仿宋" w:cs="仿宋"/>
          <w:b/>
          <w:bCs/>
          <w:color w:val="auto"/>
          <w:sz w:val="28"/>
          <w:szCs w:val="28"/>
          <w:lang w:eastAsia="zh-CN"/>
        </w:rPr>
        <w:t>汇总表</w:t>
      </w:r>
    </w:p>
    <w:p w14:paraId="171EE017">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0"/>
        <w:gridCol w:w="3000"/>
      </w:tblGrid>
      <w:tr w14:paraId="74AF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AA5F90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6A4D3C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0172005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663D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6A625C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50394558">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分部分项工程项目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49DBD8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300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3862A1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6879539">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D7A790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64C4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9F0A2F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F950AE1">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其中：安全施工费</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816740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4E0B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16399C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EFB0F2A">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507FF6F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5473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F90B6A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3.1</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C06F2FC">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其中：暂列金额</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1A879E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A42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19C080D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3.2</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085E01E0">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其中：专业工程暂估价</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4AFA72C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95BD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5BEB07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3.3</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1137977">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其中：计日工</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C85BC3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511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8060CB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3.4</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1BDC6E8F">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其中：总承包服务费</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39CCD20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D4A2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A650B1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3.5</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3EE89A85">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其中：合同中约定的其他项目</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45148A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4CB0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7447DF5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5520" w:type="dxa"/>
            <w:tcBorders>
              <w:top w:val="single" w:color="000000" w:sz="4" w:space="0"/>
              <w:left w:val="single" w:color="000000" w:sz="4" w:space="0"/>
              <w:bottom w:val="single" w:color="000000" w:sz="4" w:space="0"/>
              <w:right w:val="single" w:color="000000" w:sz="4" w:space="0"/>
            </w:tcBorders>
            <w:noWrap/>
            <w:vAlign w:val="center"/>
          </w:tcPr>
          <w:p w14:paraId="52EA4E2F">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增值</w:t>
            </w:r>
            <w:r>
              <w:rPr>
                <w:rFonts w:hint="eastAsia" w:ascii="宋体" w:hAnsi="宋体" w:eastAsia="宋体" w:cs="宋体"/>
                <w:color w:val="auto"/>
                <w:sz w:val="21"/>
                <w:szCs w:val="21"/>
                <w:lang w:eastAsia="zh-CN"/>
              </w:rPr>
              <w:t>税</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3D51E77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07805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44" w:type="dxa"/>
            <w:gridSpan w:val="2"/>
            <w:tcBorders>
              <w:top w:val="single" w:color="000000" w:sz="4" w:space="0"/>
              <w:left w:val="single" w:color="000000" w:sz="4" w:space="0"/>
              <w:bottom w:val="single" w:color="000000" w:sz="4" w:space="0"/>
              <w:right w:val="single" w:color="000000" w:sz="4" w:space="0"/>
            </w:tcBorders>
            <w:noWrap/>
            <w:vAlign w:val="center"/>
          </w:tcPr>
          <w:p w14:paraId="202889D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7467AD8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53C0B21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p>
    <w:p w14:paraId="73DF5C9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（十）表E.2.2-2分部分项工程项目清单综合单价分析表（简版）修改如下：</w:t>
      </w:r>
    </w:p>
    <w:p w14:paraId="7D2E79B8">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E.2.2-2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分部分项工程项目清单综合单价分析表（简版）</w:t>
      </w:r>
    </w:p>
    <w:p w14:paraId="64D6766F">
      <w:pPr>
        <w:pStyle w:val="2"/>
        <w:spacing w:line="520" w:lineRule="exact"/>
        <w:rPr>
          <w:rFonts w:hint="eastAsia" w:ascii="宋体" w:hAnsi="宋体" w:eastAsia="宋体" w:cs="宋体"/>
          <w:color w:val="auto"/>
          <w:sz w:val="21"/>
          <w:szCs w:val="21"/>
          <w:lang w:eastAsia="zh-CN"/>
        </w:rPr>
      </w:pPr>
      <w:r>
        <w:rPr>
          <w:rFonts w:hint="eastAsia" w:ascii="宋体" w:hAnsi="宋体" w:eastAsia="宋体" w:cs="宋体"/>
          <w:sz w:val="21"/>
          <w:szCs w:val="21"/>
        </w:rPr>
        <w:t>工程名称：</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spacing w:val="-2"/>
          <w:sz w:val="21"/>
          <w:szCs w:val="21"/>
        </w:rPr>
        <w:t>第</w:t>
      </w:r>
      <w:r>
        <w:rPr>
          <w:rFonts w:hint="eastAsia" w:ascii="宋体" w:hAnsi="宋体" w:eastAsia="宋体" w:cs="宋体"/>
          <w:spacing w:val="-2"/>
          <w:sz w:val="21"/>
          <w:szCs w:val="21"/>
          <w:lang w:eastAsia="zh-CN"/>
        </w:rPr>
        <w:t xml:space="preserve">  </w:t>
      </w:r>
      <w:r>
        <w:rPr>
          <w:rFonts w:hint="eastAsia" w:ascii="宋体" w:hAnsi="宋体" w:eastAsia="宋体" w:cs="宋体"/>
          <w:spacing w:val="-2"/>
          <w:sz w:val="21"/>
          <w:szCs w:val="21"/>
        </w:rPr>
        <w:t>页</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lang w:eastAsia="zh-CN"/>
        </w:rPr>
        <w:t xml:space="preserve"> </w:t>
      </w:r>
      <w:r>
        <w:rPr>
          <w:rFonts w:hint="eastAsia" w:ascii="宋体" w:hAnsi="宋体" w:eastAsia="宋体" w:cs="宋体"/>
          <w:spacing w:val="-2"/>
          <w:sz w:val="21"/>
          <w:szCs w:val="21"/>
        </w:rPr>
        <w:t>共</w:t>
      </w:r>
      <w:r>
        <w:rPr>
          <w:rFonts w:hint="eastAsia" w:ascii="宋体" w:hAnsi="宋体" w:eastAsia="宋体" w:cs="宋体"/>
          <w:spacing w:val="-2"/>
          <w:sz w:val="21"/>
          <w:szCs w:val="21"/>
          <w:lang w:eastAsia="zh-CN"/>
        </w:rPr>
        <w:t xml:space="preserve">  </w:t>
      </w:r>
      <w:r>
        <w:rPr>
          <w:rFonts w:hint="eastAsia" w:ascii="宋体" w:hAnsi="宋体" w:eastAsia="宋体" w:cs="宋体"/>
          <w:spacing w:val="-2"/>
          <w:sz w:val="21"/>
          <w:szCs w:val="21"/>
        </w:rPr>
        <w:t>页</w:t>
      </w:r>
    </w:p>
    <w:tbl>
      <w:tblPr>
        <w:tblStyle w:val="4"/>
        <w:tblW w:w="97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803"/>
        <w:gridCol w:w="2878"/>
        <w:gridCol w:w="630"/>
        <w:gridCol w:w="630"/>
        <w:gridCol w:w="849"/>
        <w:gridCol w:w="849"/>
        <w:gridCol w:w="849"/>
        <w:gridCol w:w="849"/>
        <w:gridCol w:w="849"/>
      </w:tblGrid>
      <w:tr w14:paraId="1872F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565" w:type="dxa"/>
            <w:vMerge w:val="restart"/>
            <w:tcBorders>
              <w:top w:val="single" w:color="000000" w:sz="4" w:space="0"/>
              <w:left w:val="single" w:color="000000" w:sz="4" w:space="0"/>
              <w:bottom w:val="nil"/>
              <w:right w:val="single" w:color="000000" w:sz="4" w:space="0"/>
            </w:tcBorders>
            <w:noWrap/>
            <w:vAlign w:val="center"/>
          </w:tcPr>
          <w:p w14:paraId="757ECD7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803" w:type="dxa"/>
            <w:vMerge w:val="restart"/>
            <w:tcBorders>
              <w:top w:val="single" w:color="000000" w:sz="4" w:space="0"/>
              <w:left w:val="single" w:color="000000" w:sz="4" w:space="0"/>
              <w:bottom w:val="nil"/>
              <w:right w:val="single" w:color="000000" w:sz="4" w:space="0"/>
            </w:tcBorders>
            <w:noWrap/>
            <w:vAlign w:val="center"/>
          </w:tcPr>
          <w:p w14:paraId="691218A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w:t>
            </w:r>
          </w:p>
          <w:p w14:paraId="0F8D07E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编码</w:t>
            </w:r>
          </w:p>
        </w:tc>
        <w:tc>
          <w:tcPr>
            <w:tcW w:w="2878" w:type="dxa"/>
            <w:vMerge w:val="restart"/>
            <w:tcBorders>
              <w:top w:val="single" w:color="000000" w:sz="4" w:space="0"/>
              <w:left w:val="single" w:color="000000" w:sz="4" w:space="0"/>
              <w:bottom w:val="nil"/>
              <w:right w:val="single" w:color="000000" w:sz="4" w:space="0"/>
            </w:tcBorders>
            <w:noWrap/>
            <w:vAlign w:val="center"/>
          </w:tcPr>
          <w:p w14:paraId="414DE9E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项目名称</w:t>
            </w:r>
          </w:p>
        </w:tc>
        <w:tc>
          <w:tcPr>
            <w:tcW w:w="630" w:type="dxa"/>
            <w:vMerge w:val="restart"/>
            <w:tcBorders>
              <w:top w:val="single" w:color="000000" w:sz="4" w:space="0"/>
              <w:left w:val="single" w:color="000000" w:sz="4" w:space="0"/>
              <w:bottom w:val="nil"/>
              <w:right w:val="single" w:color="auto" w:sz="4" w:space="0"/>
            </w:tcBorders>
            <w:noWrap/>
            <w:vAlign w:val="center"/>
          </w:tcPr>
          <w:p w14:paraId="1EAF25B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计量</w:t>
            </w:r>
          </w:p>
          <w:p w14:paraId="69CB6CF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w:t>
            </w:r>
          </w:p>
        </w:tc>
        <w:tc>
          <w:tcPr>
            <w:tcW w:w="630" w:type="dxa"/>
            <w:vMerge w:val="restart"/>
            <w:tcBorders>
              <w:top w:val="single" w:color="000000" w:sz="4" w:space="0"/>
              <w:left w:val="single" w:color="000000" w:sz="4" w:space="0"/>
              <w:bottom w:val="nil"/>
              <w:right w:val="single" w:color="000000" w:sz="4" w:space="0"/>
            </w:tcBorders>
            <w:noWrap/>
            <w:vAlign w:val="center"/>
          </w:tcPr>
          <w:p w14:paraId="738D6BB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综合</w:t>
            </w:r>
          </w:p>
          <w:p w14:paraId="121CD37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单价</w:t>
            </w:r>
          </w:p>
        </w:tc>
        <w:tc>
          <w:tcPr>
            <w:tcW w:w="4245" w:type="dxa"/>
            <w:gridSpan w:val="5"/>
            <w:tcBorders>
              <w:top w:val="single" w:color="000000" w:sz="4" w:space="0"/>
              <w:left w:val="single" w:color="000000" w:sz="4" w:space="0"/>
              <w:bottom w:val="single" w:color="000000" w:sz="4" w:space="0"/>
              <w:right w:val="single" w:color="auto" w:sz="4" w:space="0"/>
            </w:tcBorders>
            <w:noWrap/>
            <w:vAlign w:val="center"/>
          </w:tcPr>
          <w:p w14:paraId="293B450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w:t>
            </w:r>
          </w:p>
        </w:tc>
      </w:tr>
      <w:tr w14:paraId="1D13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vMerge w:val="continue"/>
            <w:tcBorders>
              <w:top w:val="nil"/>
              <w:left w:val="single" w:color="000000" w:sz="4" w:space="0"/>
              <w:bottom w:val="single" w:color="000000" w:sz="4" w:space="0"/>
              <w:right w:val="single" w:color="000000" w:sz="4" w:space="0"/>
            </w:tcBorders>
            <w:noWrap/>
            <w:vAlign w:val="center"/>
          </w:tcPr>
          <w:p w14:paraId="092B836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03" w:type="dxa"/>
            <w:vMerge w:val="continue"/>
            <w:tcBorders>
              <w:top w:val="nil"/>
              <w:left w:val="single" w:color="000000" w:sz="4" w:space="0"/>
              <w:bottom w:val="single" w:color="000000" w:sz="4" w:space="0"/>
              <w:right w:val="single" w:color="000000" w:sz="4" w:space="0"/>
            </w:tcBorders>
            <w:noWrap/>
            <w:vAlign w:val="center"/>
          </w:tcPr>
          <w:p w14:paraId="661FCAE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vMerge w:val="continue"/>
            <w:tcBorders>
              <w:top w:val="nil"/>
              <w:left w:val="single" w:color="000000" w:sz="4" w:space="0"/>
              <w:bottom w:val="single" w:color="000000" w:sz="4" w:space="0"/>
              <w:right w:val="single" w:color="000000" w:sz="4" w:space="0"/>
            </w:tcBorders>
            <w:noWrap/>
            <w:vAlign w:val="center"/>
          </w:tcPr>
          <w:p w14:paraId="610346B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vMerge w:val="continue"/>
            <w:tcBorders>
              <w:top w:val="nil"/>
              <w:left w:val="single" w:color="000000" w:sz="4" w:space="0"/>
              <w:bottom w:val="single" w:color="000000" w:sz="4" w:space="0"/>
              <w:right w:val="single" w:color="auto" w:sz="4" w:space="0"/>
            </w:tcBorders>
            <w:noWrap/>
            <w:vAlign w:val="center"/>
          </w:tcPr>
          <w:p w14:paraId="751AE64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vMerge w:val="continue"/>
            <w:tcBorders>
              <w:top w:val="nil"/>
              <w:left w:val="single" w:color="000000" w:sz="4" w:space="0"/>
              <w:bottom w:val="single" w:color="000000" w:sz="4" w:space="0"/>
              <w:right w:val="single" w:color="000000" w:sz="4" w:space="0"/>
            </w:tcBorders>
            <w:noWrap/>
            <w:vAlign w:val="center"/>
          </w:tcPr>
          <w:p w14:paraId="6D6CF35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CFF1CA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人工费</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028FC9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材料费</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052C04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机具费</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E05D5C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管理费</w:t>
            </w:r>
          </w:p>
        </w:tc>
        <w:tc>
          <w:tcPr>
            <w:tcW w:w="849" w:type="dxa"/>
            <w:tcBorders>
              <w:top w:val="single" w:color="000000" w:sz="4" w:space="0"/>
              <w:left w:val="single" w:color="000000" w:sz="4" w:space="0"/>
              <w:bottom w:val="single" w:color="000000" w:sz="4" w:space="0"/>
              <w:right w:val="single" w:color="auto" w:sz="4" w:space="0"/>
            </w:tcBorders>
            <w:noWrap/>
            <w:vAlign w:val="center"/>
          </w:tcPr>
          <w:p w14:paraId="17C3BEA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利润</w:t>
            </w:r>
          </w:p>
        </w:tc>
      </w:tr>
      <w:tr w14:paraId="7C87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7D88AE2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CA1123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center"/>
          </w:tcPr>
          <w:p w14:paraId="6409FFA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center"/>
          </w:tcPr>
          <w:p w14:paraId="58DE935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9C270D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B9E814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1E1089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B72B27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270ABC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CA2B1C7">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2EE4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noWrap/>
            <w:vAlign w:val="top"/>
          </w:tcPr>
          <w:p w14:paraId="7CFC77B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803" w:type="dxa"/>
            <w:tcBorders>
              <w:top w:val="single" w:color="000000" w:sz="4" w:space="0"/>
              <w:left w:val="single" w:color="000000" w:sz="4" w:space="0"/>
              <w:bottom w:val="single" w:color="000000" w:sz="4" w:space="0"/>
              <w:right w:val="single" w:color="000000" w:sz="4" w:space="0"/>
            </w:tcBorders>
            <w:noWrap/>
            <w:vAlign w:val="top"/>
          </w:tcPr>
          <w:p w14:paraId="40759C5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top"/>
          </w:tcPr>
          <w:p w14:paraId="21D91FA7">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top"/>
          </w:tcPr>
          <w:p w14:paraId="6F01292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top"/>
          </w:tcPr>
          <w:p w14:paraId="35DE0FF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1737A54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1749723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20A7A4E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7BB6DDF7">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C19265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856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5" w:type="dxa"/>
            <w:tcBorders>
              <w:top w:val="single" w:color="000000" w:sz="4" w:space="0"/>
              <w:left w:val="single" w:color="000000" w:sz="4" w:space="0"/>
              <w:bottom w:val="single" w:color="000000" w:sz="4" w:space="0"/>
              <w:right w:val="single" w:color="000000" w:sz="4" w:space="0"/>
            </w:tcBorders>
            <w:noWrap/>
            <w:vAlign w:val="top"/>
          </w:tcPr>
          <w:p w14:paraId="7D0BC4C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803" w:type="dxa"/>
            <w:tcBorders>
              <w:top w:val="single" w:color="000000" w:sz="4" w:space="0"/>
              <w:left w:val="single" w:color="000000" w:sz="4" w:space="0"/>
              <w:bottom w:val="single" w:color="000000" w:sz="4" w:space="0"/>
              <w:right w:val="single" w:color="000000" w:sz="4" w:space="0"/>
            </w:tcBorders>
            <w:noWrap/>
            <w:vAlign w:val="top"/>
          </w:tcPr>
          <w:p w14:paraId="2CCEAB4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top"/>
          </w:tcPr>
          <w:p w14:paraId="7650C67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top"/>
          </w:tcPr>
          <w:p w14:paraId="1692AB8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top"/>
          </w:tcPr>
          <w:p w14:paraId="520DA9F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016E6AD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775E28A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53D3E48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01AF6F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7592BC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4CB5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65" w:type="dxa"/>
            <w:tcBorders>
              <w:top w:val="single" w:color="000000" w:sz="4" w:space="0"/>
              <w:left w:val="single" w:color="000000" w:sz="4" w:space="0"/>
              <w:bottom w:val="single" w:color="000000" w:sz="4" w:space="0"/>
              <w:right w:val="single" w:color="000000" w:sz="4" w:space="0"/>
            </w:tcBorders>
            <w:noWrap/>
            <w:vAlign w:val="top"/>
          </w:tcPr>
          <w:p w14:paraId="5E5838D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03" w:type="dxa"/>
            <w:tcBorders>
              <w:top w:val="single" w:color="000000" w:sz="4" w:space="0"/>
              <w:left w:val="single" w:color="000000" w:sz="4" w:space="0"/>
              <w:bottom w:val="single" w:color="000000" w:sz="4" w:space="0"/>
              <w:right w:val="single" w:color="000000" w:sz="4" w:space="0"/>
            </w:tcBorders>
            <w:noWrap/>
            <w:vAlign w:val="top"/>
          </w:tcPr>
          <w:p w14:paraId="364DF29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878" w:type="dxa"/>
            <w:tcBorders>
              <w:top w:val="single" w:color="000000" w:sz="4" w:space="0"/>
              <w:left w:val="single" w:color="000000" w:sz="4" w:space="0"/>
              <w:bottom w:val="single" w:color="000000" w:sz="4" w:space="0"/>
              <w:right w:val="single" w:color="000000" w:sz="4" w:space="0"/>
            </w:tcBorders>
            <w:noWrap/>
            <w:vAlign w:val="top"/>
          </w:tcPr>
          <w:p w14:paraId="57B75AE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auto" w:sz="4" w:space="0"/>
            </w:tcBorders>
            <w:noWrap/>
            <w:vAlign w:val="top"/>
          </w:tcPr>
          <w:p w14:paraId="0EEC90E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630" w:type="dxa"/>
            <w:tcBorders>
              <w:top w:val="single" w:color="000000" w:sz="4" w:space="0"/>
              <w:left w:val="single" w:color="000000" w:sz="4" w:space="0"/>
              <w:bottom w:val="single" w:color="000000" w:sz="4" w:space="0"/>
              <w:right w:val="single" w:color="000000" w:sz="4" w:space="0"/>
            </w:tcBorders>
            <w:noWrap/>
            <w:vAlign w:val="top"/>
          </w:tcPr>
          <w:p w14:paraId="3850B6A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68EBB8B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564DB19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5F84C3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1CC1C17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849" w:type="dxa"/>
            <w:tcBorders>
              <w:top w:val="single" w:color="000000" w:sz="4" w:space="0"/>
              <w:left w:val="single" w:color="000000" w:sz="4" w:space="0"/>
              <w:bottom w:val="single" w:color="000000" w:sz="4" w:space="0"/>
              <w:right w:val="single" w:color="000000" w:sz="4" w:space="0"/>
            </w:tcBorders>
            <w:noWrap/>
            <w:vAlign w:val="top"/>
          </w:tcPr>
          <w:p w14:paraId="35986362">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19865B3A">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（十一）表E.3.1措施项目清单计价表修改如下：</w:t>
      </w:r>
    </w:p>
    <w:p w14:paraId="030DEE21">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E.3.1</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措施项目清单计价表</w:t>
      </w:r>
    </w:p>
    <w:p w14:paraId="7E8D3386">
      <w:pPr>
        <w:pStyle w:val="2"/>
        <w:spacing w:line="620" w:lineRule="exact"/>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 xml:space="preserve">工程名称：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第  页</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lang w:eastAsia="zh-CN"/>
        </w:rPr>
        <w:t xml:space="preserve"> 共  页</w:t>
      </w:r>
    </w:p>
    <w:tbl>
      <w:tblPr>
        <w:tblStyle w:val="4"/>
        <w:tblW w:w="97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217"/>
        <w:gridCol w:w="2199"/>
        <w:gridCol w:w="1438"/>
        <w:gridCol w:w="1310"/>
        <w:gridCol w:w="1153"/>
        <w:gridCol w:w="1713"/>
      </w:tblGrid>
      <w:tr w14:paraId="42C58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79EEBE7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EAA7C8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项目编码</w:t>
            </w: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2C06C5C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项目名称</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7C418B4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计算基础</w:t>
            </w:r>
          </w:p>
        </w:tc>
        <w:tc>
          <w:tcPr>
            <w:tcW w:w="1310" w:type="dxa"/>
            <w:tcBorders>
              <w:top w:val="single" w:color="000000" w:sz="4" w:space="0"/>
              <w:left w:val="single" w:color="000000" w:sz="4" w:space="0"/>
              <w:bottom w:val="single" w:color="000000" w:sz="4" w:space="0"/>
              <w:right w:val="single" w:color="auto" w:sz="4" w:space="0"/>
            </w:tcBorders>
            <w:noWrap/>
            <w:vAlign w:val="center"/>
          </w:tcPr>
          <w:p w14:paraId="705CCDA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单位或</w:t>
            </w:r>
          </w:p>
          <w:p w14:paraId="1DCD073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费率（%）</w:t>
            </w:r>
          </w:p>
        </w:tc>
        <w:tc>
          <w:tcPr>
            <w:tcW w:w="1153" w:type="dxa"/>
            <w:tcBorders>
              <w:top w:val="single" w:color="000000" w:sz="4" w:space="0"/>
              <w:left w:val="single" w:color="auto" w:sz="4" w:space="0"/>
              <w:bottom w:val="single" w:color="000000" w:sz="4" w:space="0"/>
              <w:right w:val="single" w:color="000000" w:sz="4" w:space="0"/>
            </w:tcBorders>
            <w:noWrap/>
            <w:vAlign w:val="center"/>
          </w:tcPr>
          <w:p w14:paraId="7650EA0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价格</w:t>
            </w:r>
          </w:p>
          <w:p w14:paraId="74AF228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CE02DF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备注</w:t>
            </w:r>
          </w:p>
        </w:tc>
      </w:tr>
      <w:tr w14:paraId="6FAF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0352476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A1A63D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29A9D35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5DFD152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310" w:type="dxa"/>
            <w:tcBorders>
              <w:top w:val="single" w:color="000000" w:sz="4" w:space="0"/>
              <w:left w:val="single" w:color="000000" w:sz="4" w:space="0"/>
              <w:bottom w:val="single" w:color="000000" w:sz="4" w:space="0"/>
              <w:right w:val="single" w:color="auto" w:sz="4" w:space="0"/>
            </w:tcBorders>
            <w:noWrap/>
            <w:vAlign w:val="center"/>
          </w:tcPr>
          <w:p w14:paraId="6DA8C52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4AFAA7C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6A93CE1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3EC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07721D49">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A5D8EF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0DA3085A">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090BD42E">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310" w:type="dxa"/>
            <w:tcBorders>
              <w:top w:val="single" w:color="000000" w:sz="4" w:space="0"/>
              <w:left w:val="single" w:color="000000" w:sz="4" w:space="0"/>
              <w:bottom w:val="single" w:color="000000" w:sz="4" w:space="0"/>
              <w:right w:val="single" w:color="auto" w:sz="4" w:space="0"/>
            </w:tcBorders>
            <w:noWrap/>
            <w:vAlign w:val="center"/>
          </w:tcPr>
          <w:p w14:paraId="39C63925">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4BCF923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0817B8D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4582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21" w:type="dxa"/>
            <w:tcBorders>
              <w:top w:val="single" w:color="000000" w:sz="4" w:space="0"/>
              <w:left w:val="single" w:color="000000" w:sz="4" w:space="0"/>
              <w:bottom w:val="single" w:color="000000" w:sz="4" w:space="0"/>
              <w:right w:val="single" w:color="000000" w:sz="4" w:space="0"/>
            </w:tcBorders>
            <w:noWrap/>
            <w:vAlign w:val="center"/>
          </w:tcPr>
          <w:p w14:paraId="745CBB4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6110EF1">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2199" w:type="dxa"/>
            <w:tcBorders>
              <w:top w:val="single" w:color="000000" w:sz="4" w:space="0"/>
              <w:left w:val="single" w:color="000000" w:sz="4" w:space="0"/>
              <w:bottom w:val="single" w:color="000000" w:sz="4" w:space="0"/>
              <w:right w:val="single" w:color="000000" w:sz="4" w:space="0"/>
            </w:tcBorders>
            <w:noWrap/>
            <w:vAlign w:val="center"/>
          </w:tcPr>
          <w:p w14:paraId="62A790D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0A2FB83D">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310" w:type="dxa"/>
            <w:tcBorders>
              <w:top w:val="single" w:color="000000" w:sz="4" w:space="0"/>
              <w:left w:val="single" w:color="000000" w:sz="4" w:space="0"/>
              <w:bottom w:val="single" w:color="000000" w:sz="4" w:space="0"/>
              <w:right w:val="single" w:color="auto" w:sz="4" w:space="0"/>
            </w:tcBorders>
            <w:noWrap/>
            <w:vAlign w:val="center"/>
          </w:tcPr>
          <w:p w14:paraId="26CB2226">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388467BC">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36E4B1A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4B3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575" w:type="dxa"/>
            <w:gridSpan w:val="4"/>
            <w:tcBorders>
              <w:top w:val="single" w:color="000000" w:sz="4" w:space="0"/>
              <w:left w:val="single" w:color="000000" w:sz="4" w:space="0"/>
              <w:bottom w:val="single" w:color="000000" w:sz="4" w:space="0"/>
              <w:right w:val="single" w:color="000000" w:sz="4" w:space="0"/>
            </w:tcBorders>
            <w:noWrap/>
            <w:vAlign w:val="center"/>
          </w:tcPr>
          <w:p w14:paraId="11101289">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本页小计</w:t>
            </w:r>
          </w:p>
        </w:tc>
        <w:tc>
          <w:tcPr>
            <w:tcW w:w="1310" w:type="dxa"/>
            <w:tcBorders>
              <w:top w:val="single" w:color="000000" w:sz="4" w:space="0"/>
              <w:left w:val="single" w:color="000000" w:sz="4" w:space="0"/>
              <w:bottom w:val="single" w:color="000000" w:sz="4" w:space="0"/>
              <w:right w:val="single" w:color="auto" w:sz="4" w:space="0"/>
            </w:tcBorders>
            <w:noWrap/>
            <w:vAlign w:val="center"/>
          </w:tcPr>
          <w:p w14:paraId="14A620A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p>
        </w:tc>
        <w:tc>
          <w:tcPr>
            <w:tcW w:w="1153" w:type="dxa"/>
            <w:tcBorders>
              <w:top w:val="single" w:color="000000" w:sz="4" w:space="0"/>
              <w:left w:val="single" w:color="auto" w:sz="4" w:space="0"/>
              <w:bottom w:val="single" w:color="000000" w:sz="4" w:space="0"/>
              <w:right w:val="single" w:color="000000" w:sz="4" w:space="0"/>
            </w:tcBorders>
            <w:noWrap/>
            <w:vAlign w:val="center"/>
          </w:tcPr>
          <w:p w14:paraId="0A6759D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p>
        </w:tc>
        <w:tc>
          <w:tcPr>
            <w:tcW w:w="1713" w:type="dxa"/>
            <w:tcBorders>
              <w:top w:val="single" w:color="000000" w:sz="4" w:space="0"/>
              <w:left w:val="single" w:color="000000" w:sz="4" w:space="0"/>
              <w:bottom w:val="single" w:color="000000" w:sz="4" w:space="0"/>
              <w:right w:val="single" w:color="000000" w:sz="4" w:space="0"/>
            </w:tcBorders>
            <w:noWrap/>
            <w:vAlign w:val="center"/>
          </w:tcPr>
          <w:p w14:paraId="515AD4D2">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position w:val="-2"/>
                <w:sz w:val="21"/>
                <w:szCs w:val="21"/>
              </w:rPr>
              <w:t>—</w:t>
            </w:r>
          </w:p>
        </w:tc>
      </w:tr>
      <w:tr w14:paraId="07E5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575" w:type="dxa"/>
            <w:gridSpan w:val="4"/>
            <w:tcBorders>
              <w:top w:val="single" w:color="000000" w:sz="4" w:space="0"/>
              <w:left w:val="single" w:color="000000" w:sz="4" w:space="0"/>
              <w:bottom w:val="single" w:color="000000" w:sz="4" w:space="0"/>
              <w:right w:val="single" w:color="000000" w:sz="4" w:space="0"/>
            </w:tcBorders>
            <w:noWrap/>
            <w:vAlign w:val="top"/>
          </w:tcPr>
          <w:p w14:paraId="44B74A52">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合计</w:t>
            </w:r>
          </w:p>
        </w:tc>
        <w:tc>
          <w:tcPr>
            <w:tcW w:w="1310" w:type="dxa"/>
            <w:tcBorders>
              <w:top w:val="single" w:color="000000" w:sz="4" w:space="0"/>
              <w:left w:val="single" w:color="000000" w:sz="4" w:space="0"/>
              <w:bottom w:val="single" w:color="000000" w:sz="4" w:space="0"/>
              <w:right w:val="single" w:color="auto" w:sz="4" w:space="0"/>
            </w:tcBorders>
            <w:noWrap/>
            <w:vAlign w:val="top"/>
          </w:tcPr>
          <w:p w14:paraId="49723CCC">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rPr>
            </w:pPr>
          </w:p>
        </w:tc>
        <w:tc>
          <w:tcPr>
            <w:tcW w:w="1153" w:type="dxa"/>
            <w:tcBorders>
              <w:top w:val="single" w:color="000000" w:sz="4" w:space="0"/>
              <w:left w:val="single" w:color="auto" w:sz="4" w:space="0"/>
              <w:bottom w:val="single" w:color="000000" w:sz="4" w:space="0"/>
              <w:right w:val="single" w:color="000000" w:sz="4" w:space="0"/>
            </w:tcBorders>
            <w:noWrap/>
            <w:vAlign w:val="top"/>
          </w:tcPr>
          <w:p w14:paraId="0EF73410">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rPr>
            </w:pPr>
          </w:p>
        </w:tc>
        <w:tc>
          <w:tcPr>
            <w:tcW w:w="1713" w:type="dxa"/>
            <w:tcBorders>
              <w:top w:val="single" w:color="000000" w:sz="4" w:space="0"/>
              <w:left w:val="single" w:color="000000" w:sz="4" w:space="0"/>
              <w:bottom w:val="single" w:color="000000" w:sz="4" w:space="0"/>
              <w:right w:val="single" w:color="000000" w:sz="4" w:space="0"/>
            </w:tcBorders>
            <w:noWrap/>
            <w:vAlign w:val="top"/>
          </w:tcPr>
          <w:p w14:paraId="42020014">
            <w:pPr>
              <w:pStyle w:val="6"/>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position w:val="-2"/>
                <w:sz w:val="21"/>
                <w:szCs w:val="21"/>
              </w:rPr>
              <w:t>—</w:t>
            </w:r>
          </w:p>
        </w:tc>
      </w:tr>
    </w:tbl>
    <w:p w14:paraId="3C0DD81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（十二）删除表E.3.2措施项目清单构成明细分析表。</w:t>
      </w:r>
    </w:p>
    <w:p w14:paraId="40EE3CDB">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（十三）表E.6.1工程项目竣工（过程）结算汇总表修改：</w:t>
      </w:r>
    </w:p>
    <w:p w14:paraId="7C6A4A37">
      <w:pPr>
        <w:widowControl w:val="0"/>
        <w:kinsoku/>
        <w:autoSpaceDE/>
        <w:autoSpaceDN/>
        <w:adjustRightInd/>
        <w:snapToGrid/>
        <w:spacing w:line="62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E.6.1</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lang w:eastAsia="zh-CN"/>
        </w:rPr>
        <w:t>工程</w:t>
      </w:r>
      <w:r>
        <w:rPr>
          <w:rFonts w:hint="eastAsia" w:ascii="仿宋" w:hAnsi="仿宋" w:eastAsia="仿宋" w:cs="仿宋"/>
          <w:b/>
          <w:bCs/>
          <w:color w:val="auto"/>
          <w:sz w:val="28"/>
          <w:szCs w:val="28"/>
          <w:lang w:val="en-US" w:eastAsia="zh-CN"/>
        </w:rPr>
        <w:t>项目</w:t>
      </w:r>
      <w:r>
        <w:rPr>
          <w:rFonts w:hint="eastAsia" w:ascii="仿宋" w:hAnsi="仿宋" w:eastAsia="仿宋" w:cs="仿宋"/>
          <w:b/>
          <w:bCs/>
          <w:color w:val="auto"/>
          <w:sz w:val="28"/>
          <w:szCs w:val="28"/>
          <w:lang w:eastAsia="zh-CN"/>
        </w:rPr>
        <w:t>竣工（过程）结算汇总表</w:t>
      </w:r>
    </w:p>
    <w:p w14:paraId="14EAA76B">
      <w:pPr>
        <w:widowControl w:val="0"/>
        <w:kinsoku/>
        <w:autoSpaceDE/>
        <w:autoSpaceDN/>
        <w:adjustRightInd/>
        <w:snapToGrid/>
        <w:spacing w:line="620" w:lineRule="exact"/>
        <w:textAlignment w:val="auto"/>
        <w:rPr>
          <w:rFonts w:hint="eastAsia" w:ascii="仿宋_GB2312" w:hAnsi="方正仿宋_GB2312" w:eastAsia="仿宋_GB2312" w:cs="方正仿宋_GB2312"/>
          <w:color w:val="auto"/>
          <w:sz w:val="21"/>
          <w:szCs w:val="21"/>
          <w:lang w:eastAsia="zh-CN"/>
        </w:rPr>
      </w:pPr>
      <w:r>
        <w:rPr>
          <w:rFonts w:hint="eastAsia" w:ascii="宋体" w:hAnsi="宋体" w:eastAsia="宋体" w:cs="宋体"/>
          <w:color w:val="auto"/>
          <w:sz w:val="21"/>
          <w:szCs w:val="21"/>
          <w:lang w:eastAsia="zh-CN"/>
        </w:rPr>
        <w:t>工程名称：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共  页</w:t>
      </w:r>
      <w:r>
        <w:rPr>
          <w:rFonts w:hint="eastAsia" w:ascii="仿宋_GB2312" w:hAnsi="方正仿宋_GB2312" w:eastAsia="仿宋_GB2312" w:cs="方正仿宋_GB2312"/>
          <w:color w:val="auto"/>
          <w:sz w:val="21"/>
          <w:szCs w:val="21"/>
          <w:lang w:eastAsia="zh-CN"/>
        </w:rPr>
        <w:t xml:space="preserve">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5"/>
        <w:gridCol w:w="2995"/>
      </w:tblGrid>
      <w:tr w14:paraId="10179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4E245681">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33ADB5A0">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D4084F5">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4CC04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2895A65C">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2851964E">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单项工程1</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6A17EA04">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49EF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57CA1734">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343902DF">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单项工程2</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72BAC6BA">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0FCF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07965EDE">
            <w:pPr>
              <w:keepNext w:val="0"/>
              <w:keepLines w:val="0"/>
              <w:widowControl w:val="0"/>
              <w:suppressLineNumbers w:val="0"/>
              <w:kinsoku/>
              <w:autoSpaceDE/>
              <w:autoSpaceDN/>
              <w:adjustRightInd/>
              <w:snapToGrid/>
              <w:spacing w:before="0" w:beforeAutospacing="0" w:after="0" w:afterAutospacing="0"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6EBC0439">
            <w:pPr>
              <w:keepNext w:val="0"/>
              <w:keepLines w:val="0"/>
              <w:widowControl w:val="0"/>
              <w:suppressLineNumbers w:val="0"/>
              <w:kinsoku/>
              <w:autoSpaceDE/>
              <w:autoSpaceDN/>
              <w:adjustRightInd/>
              <w:snapToGrid/>
              <w:spacing w:before="0" w:beforeAutospacing="0" w:after="0" w:afterAutospacing="0" w:line="28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单项工程3</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54D415D3">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2CF60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noWrap/>
            <w:vAlign w:val="center"/>
          </w:tcPr>
          <w:p w14:paraId="3A389FA7">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5525" w:type="dxa"/>
            <w:tcBorders>
              <w:top w:val="single" w:color="000000" w:sz="4" w:space="0"/>
              <w:left w:val="single" w:color="000000" w:sz="4" w:space="0"/>
              <w:bottom w:val="single" w:color="000000" w:sz="4" w:space="0"/>
              <w:right w:val="single" w:color="000000" w:sz="4" w:space="0"/>
            </w:tcBorders>
            <w:noWrap/>
            <w:vAlign w:val="center"/>
          </w:tcPr>
          <w:p w14:paraId="20A012DA">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438B5F2D">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r w14:paraId="1B46C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749" w:type="dxa"/>
            <w:gridSpan w:val="2"/>
            <w:tcBorders>
              <w:top w:val="single" w:color="000000" w:sz="4" w:space="0"/>
              <w:left w:val="single" w:color="000000" w:sz="4" w:space="0"/>
              <w:bottom w:val="single" w:color="000000" w:sz="4" w:space="0"/>
              <w:right w:val="single" w:color="000000" w:sz="4" w:space="0"/>
            </w:tcBorders>
            <w:noWrap/>
            <w:vAlign w:val="center"/>
          </w:tcPr>
          <w:p w14:paraId="69BE7DBB">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2995" w:type="dxa"/>
            <w:tcBorders>
              <w:top w:val="single" w:color="000000" w:sz="4" w:space="0"/>
              <w:left w:val="single" w:color="000000" w:sz="4" w:space="0"/>
              <w:bottom w:val="single" w:color="000000" w:sz="4" w:space="0"/>
              <w:right w:val="single" w:color="000000" w:sz="4" w:space="0"/>
            </w:tcBorders>
            <w:noWrap/>
            <w:vAlign w:val="center"/>
          </w:tcPr>
          <w:p w14:paraId="1A0CEF06">
            <w:pPr>
              <w:keepNext w:val="0"/>
              <w:keepLines w:val="0"/>
              <w:widowControl w:val="0"/>
              <w:suppressLineNumbers w:val="0"/>
              <w:kinsoku/>
              <w:autoSpaceDE/>
              <w:autoSpaceDN/>
              <w:adjustRightInd/>
              <w:snapToGrid/>
              <w:spacing w:before="0" w:beforeAutospacing="0" w:after="0" w:afterAutospacing="0" w:line="280" w:lineRule="exact"/>
              <w:ind w:left="0" w:right="0" w:firstLine="420" w:firstLineChars="200"/>
              <w:jc w:val="center"/>
              <w:textAlignment w:val="auto"/>
              <w:rPr>
                <w:rFonts w:hint="eastAsia" w:ascii="宋体" w:hAnsi="宋体" w:eastAsia="宋体" w:cs="宋体"/>
                <w:color w:val="auto"/>
                <w:sz w:val="21"/>
                <w:szCs w:val="21"/>
                <w:lang w:eastAsia="zh-CN"/>
              </w:rPr>
            </w:pPr>
          </w:p>
        </w:tc>
      </w:tr>
    </w:tbl>
    <w:p w14:paraId="2A93246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增加表E.6.2单项工程竣工（过程）结算汇总表。</w:t>
      </w:r>
    </w:p>
    <w:p w14:paraId="6263B4C7">
      <w:pPr>
        <w:widowControl w:val="0"/>
        <w:kinsoku/>
        <w:autoSpaceDE/>
        <w:autoSpaceDN/>
        <w:adjustRightInd/>
        <w:snapToGrid/>
        <w:spacing w:line="620" w:lineRule="exact"/>
        <w:jc w:val="center"/>
        <w:textAlignment w:val="auto"/>
        <w:rPr>
          <w:rFonts w:hint="eastAsia" w:ascii="仿宋_GB2312" w:hAnsi="方正仿宋_GB2312" w:eastAsia="仿宋_GB2312" w:cs="方正仿宋_GB2312"/>
          <w:b/>
          <w:bCs/>
          <w:color w:val="auto"/>
          <w:sz w:val="28"/>
          <w:szCs w:val="28"/>
          <w:lang w:eastAsia="zh-CN"/>
        </w:rPr>
      </w:pPr>
      <w:r>
        <w:rPr>
          <w:rFonts w:hint="eastAsia" w:ascii="仿宋_GB2312" w:hAnsi="方正仿宋_GB2312" w:eastAsia="仿宋_GB2312" w:cs="方正仿宋_GB2312"/>
          <w:b/>
          <w:bCs/>
          <w:color w:val="auto"/>
          <w:sz w:val="28"/>
          <w:szCs w:val="28"/>
          <w:lang w:eastAsia="zh-CN"/>
        </w:rPr>
        <w:t>E.6.2</w:t>
      </w:r>
      <w:r>
        <w:rPr>
          <w:rFonts w:hint="eastAsia" w:ascii="仿宋_GB2312" w:hAnsi="方正仿宋_GB2312" w:cs="方正仿宋_GB2312"/>
          <w:b/>
          <w:bCs/>
          <w:color w:val="auto"/>
          <w:sz w:val="28"/>
          <w:szCs w:val="28"/>
          <w:lang w:val="en-US" w:eastAsia="zh-CN"/>
        </w:rPr>
        <w:t xml:space="preserve"> </w:t>
      </w:r>
      <w:r>
        <w:rPr>
          <w:rFonts w:hint="eastAsia" w:ascii="仿宋_GB2312" w:hAnsi="方正仿宋_GB2312" w:eastAsia="仿宋_GB2312" w:cs="方正仿宋_GB2312"/>
          <w:b/>
          <w:bCs/>
          <w:color w:val="auto"/>
          <w:sz w:val="28"/>
          <w:szCs w:val="28"/>
          <w:lang w:eastAsia="zh-CN"/>
        </w:rPr>
        <w:t>单</w:t>
      </w:r>
      <w:r>
        <w:rPr>
          <w:rFonts w:hint="eastAsia" w:ascii="仿宋_GB2312" w:hAnsi="方正仿宋_GB2312" w:cs="方正仿宋_GB2312"/>
          <w:b/>
          <w:bCs/>
          <w:color w:val="auto"/>
          <w:sz w:val="28"/>
          <w:szCs w:val="28"/>
          <w:lang w:eastAsia="zh-CN"/>
        </w:rPr>
        <w:t>项</w:t>
      </w:r>
      <w:r>
        <w:rPr>
          <w:rFonts w:hint="eastAsia" w:ascii="仿宋_GB2312" w:hAnsi="方正仿宋_GB2312" w:eastAsia="仿宋_GB2312" w:cs="方正仿宋_GB2312"/>
          <w:b/>
          <w:bCs/>
          <w:color w:val="auto"/>
          <w:sz w:val="28"/>
          <w:szCs w:val="28"/>
          <w:lang w:eastAsia="zh-CN"/>
        </w:rPr>
        <w:t>工程竣工</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过程</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结算汇总表</w:t>
      </w:r>
    </w:p>
    <w:p w14:paraId="6DA9C9A3">
      <w:pPr>
        <w:widowControl w:val="0"/>
        <w:kinsoku/>
        <w:autoSpaceDE/>
        <w:autoSpaceDN/>
        <w:adjustRightInd/>
        <w:snapToGrid/>
        <w:spacing w:line="620" w:lineRule="exact"/>
        <w:jc w:val="center"/>
        <w:textAlignment w:val="auto"/>
        <w:rPr>
          <w:rFonts w:hint="eastAsia" w:ascii="仿宋_GB2312" w:hAnsi="方正仿宋_GB2312" w:eastAsia="仿宋_GB2312" w:cs="方正仿宋_GB2312"/>
          <w:b/>
          <w:bCs/>
          <w:color w:val="auto"/>
          <w:sz w:val="28"/>
          <w:szCs w:val="28"/>
          <w:lang w:eastAsia="zh-CN"/>
        </w:rPr>
      </w:pPr>
      <w:r>
        <w:rPr>
          <w:rFonts w:hint="eastAsia" w:ascii="仿宋_GB2312" w:hAnsi="方正仿宋_GB2312" w:eastAsia="仿宋_GB2312" w:cs="方正仿宋_GB2312"/>
          <w:b/>
          <w:bCs/>
          <w:color w:val="auto"/>
          <w:sz w:val="28"/>
          <w:szCs w:val="28"/>
          <w:lang w:eastAsia="zh-CN"/>
        </w:rPr>
        <w:t xml:space="preserve"> </w:t>
      </w:r>
    </w:p>
    <w:p w14:paraId="12E19C0C">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共  页  </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5520"/>
        <w:gridCol w:w="3000"/>
      </w:tblGrid>
      <w:tr w14:paraId="6AAA2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01CB632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36A71360">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1EEB37E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金额（元）</w:t>
            </w:r>
          </w:p>
        </w:tc>
      </w:tr>
      <w:tr w14:paraId="336F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503AA05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53C75D57">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单位工程1</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02B3965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1CA49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38F8A89F">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21502BC2">
            <w:pPr>
              <w:keepNext w:val="0"/>
              <w:keepLines w:val="0"/>
              <w:widowControl w:val="0"/>
              <w:suppressLineNumbers w:val="0"/>
              <w:kinsoku/>
              <w:autoSpaceDE/>
              <w:autoSpaceDN/>
              <w:adjustRightInd/>
              <w:snapToGrid/>
              <w:spacing w:before="0" w:beforeAutospacing="0" w:after="0" w:afterAutospacing="0" w:line="320" w:lineRule="exact"/>
              <w:ind w:left="0" w:leftChars="0"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单位工程2</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5BF18FF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203D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6F87034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5520" w:type="dxa"/>
            <w:tcBorders>
              <w:top w:val="single" w:color="000000" w:sz="4" w:space="0"/>
              <w:left w:val="single" w:color="000000" w:sz="4" w:space="0"/>
              <w:bottom w:val="single" w:color="000000" w:sz="4" w:space="0"/>
              <w:right w:val="single" w:color="000000" w:sz="4" w:space="0"/>
            </w:tcBorders>
            <w:noWrap/>
            <w:vAlign w:val="top"/>
          </w:tcPr>
          <w:p w14:paraId="19CBAB84">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单位工程</w:t>
            </w:r>
            <w:r>
              <w:rPr>
                <w:rFonts w:hint="eastAsia" w:ascii="宋体" w:hAnsi="宋体" w:eastAsia="宋体" w:cs="宋体"/>
                <w:color w:val="auto"/>
                <w:sz w:val="21"/>
                <w:szCs w:val="21"/>
                <w:lang w:val="en-US" w:eastAsia="zh-CN"/>
              </w:rPr>
              <w:t>3</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0D0A6DAF">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7FCA7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24" w:type="dxa"/>
            <w:tcBorders>
              <w:top w:val="single" w:color="000000" w:sz="4" w:space="0"/>
              <w:left w:val="single" w:color="000000" w:sz="4" w:space="0"/>
              <w:bottom w:val="single" w:color="000000" w:sz="4" w:space="0"/>
              <w:right w:val="single" w:color="000000" w:sz="4" w:space="0"/>
            </w:tcBorders>
            <w:noWrap/>
            <w:vAlign w:val="top"/>
          </w:tcPr>
          <w:p w14:paraId="30AE0993">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c>
          <w:tcPr>
            <w:tcW w:w="5520" w:type="dxa"/>
            <w:tcBorders>
              <w:top w:val="single" w:color="000000" w:sz="4" w:space="0"/>
              <w:left w:val="single" w:color="000000" w:sz="4" w:space="0"/>
              <w:bottom w:val="single" w:color="000000" w:sz="4" w:space="0"/>
              <w:right w:val="single" w:color="000000" w:sz="4" w:space="0"/>
            </w:tcBorders>
            <w:noWrap/>
            <w:vAlign w:val="top"/>
          </w:tcPr>
          <w:p w14:paraId="29C97ACF">
            <w:pPr>
              <w:keepNext w:val="0"/>
              <w:keepLines w:val="0"/>
              <w:widowControl w:val="0"/>
              <w:suppressLineNumbers w:val="0"/>
              <w:kinsoku/>
              <w:autoSpaceDE/>
              <w:autoSpaceDN/>
              <w:adjustRightInd/>
              <w:snapToGrid/>
              <w:spacing w:before="0" w:beforeAutospacing="0" w:after="0" w:afterAutospacing="0" w:line="320" w:lineRule="exact"/>
              <w:ind w:left="0" w:right="0"/>
              <w:textAlignment w:val="auto"/>
              <w:rPr>
                <w:rFonts w:hint="eastAsia" w:ascii="宋体" w:hAnsi="宋体" w:eastAsia="宋体" w:cs="宋体"/>
                <w:color w:val="auto"/>
                <w:sz w:val="21"/>
                <w:szCs w:val="21"/>
                <w:lang w:eastAsia="zh-CN"/>
              </w:rPr>
            </w:pPr>
          </w:p>
        </w:tc>
        <w:tc>
          <w:tcPr>
            <w:tcW w:w="3000" w:type="dxa"/>
            <w:tcBorders>
              <w:top w:val="single" w:color="000000" w:sz="4" w:space="0"/>
              <w:left w:val="single" w:color="000000" w:sz="4" w:space="0"/>
              <w:bottom w:val="single" w:color="000000" w:sz="4" w:space="0"/>
              <w:right w:val="single" w:color="000000" w:sz="4" w:space="0"/>
            </w:tcBorders>
            <w:noWrap/>
            <w:vAlign w:val="top"/>
          </w:tcPr>
          <w:p w14:paraId="025CDBAB">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r w14:paraId="5097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44" w:type="dxa"/>
            <w:gridSpan w:val="2"/>
            <w:tcBorders>
              <w:top w:val="single" w:color="000000" w:sz="4" w:space="0"/>
              <w:left w:val="single" w:color="000000" w:sz="4" w:space="0"/>
              <w:bottom w:val="single" w:color="000000" w:sz="4" w:space="0"/>
              <w:right w:val="single" w:color="000000" w:sz="4" w:space="0"/>
            </w:tcBorders>
            <w:noWrap/>
            <w:vAlign w:val="top"/>
          </w:tcPr>
          <w:p w14:paraId="13246B88">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3000" w:type="dxa"/>
            <w:tcBorders>
              <w:top w:val="single" w:color="000000" w:sz="4" w:space="0"/>
              <w:left w:val="single" w:color="000000" w:sz="4" w:space="0"/>
              <w:bottom w:val="single" w:color="000000" w:sz="4" w:space="0"/>
              <w:right w:val="single" w:color="000000" w:sz="4" w:space="0"/>
            </w:tcBorders>
            <w:noWrap/>
            <w:vAlign w:val="top"/>
          </w:tcPr>
          <w:p w14:paraId="5EE7B4C4">
            <w:pPr>
              <w:keepNext w:val="0"/>
              <w:keepLines w:val="0"/>
              <w:widowControl w:val="0"/>
              <w:suppressLineNumbers w:val="0"/>
              <w:kinsoku/>
              <w:autoSpaceDE/>
              <w:autoSpaceDN/>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1"/>
                <w:szCs w:val="21"/>
                <w:lang w:eastAsia="zh-CN"/>
              </w:rPr>
            </w:pPr>
          </w:p>
        </w:tc>
      </w:tr>
    </w:tbl>
    <w:p w14:paraId="066B31E0">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（十五）增加表E.6.3单位工程竣工（过程）结算汇总表。</w:t>
      </w:r>
    </w:p>
    <w:p w14:paraId="173A3A7F">
      <w:pPr>
        <w:widowControl w:val="0"/>
        <w:kinsoku/>
        <w:autoSpaceDE/>
        <w:autoSpaceDN/>
        <w:adjustRightInd/>
        <w:snapToGrid/>
        <w:spacing w:line="620" w:lineRule="exact"/>
        <w:jc w:val="center"/>
        <w:textAlignment w:val="auto"/>
        <w:rPr>
          <w:rFonts w:hint="eastAsia" w:ascii="仿宋_GB2312" w:hAnsi="方正仿宋_GB2312" w:eastAsia="仿宋_GB2312" w:cs="方正仿宋_GB2312"/>
          <w:color w:val="auto"/>
          <w:sz w:val="28"/>
          <w:szCs w:val="28"/>
          <w:lang w:eastAsia="zh-CN"/>
        </w:rPr>
      </w:pPr>
      <w:r>
        <w:rPr>
          <w:rFonts w:hint="eastAsia" w:ascii="仿宋_GB2312" w:hAnsi="方正仿宋_GB2312" w:eastAsia="仿宋_GB2312" w:cs="方正仿宋_GB2312"/>
          <w:b/>
          <w:bCs/>
          <w:color w:val="auto"/>
          <w:sz w:val="28"/>
          <w:szCs w:val="28"/>
          <w:lang w:eastAsia="zh-CN"/>
        </w:rPr>
        <w:t>E.6.3</w:t>
      </w:r>
      <w:r>
        <w:rPr>
          <w:rFonts w:hint="eastAsia" w:ascii="仿宋_GB2312" w:hAnsi="方正仿宋_GB2312" w:cs="方正仿宋_GB2312"/>
          <w:b/>
          <w:bCs/>
          <w:color w:val="auto"/>
          <w:sz w:val="28"/>
          <w:szCs w:val="28"/>
          <w:lang w:val="en-US" w:eastAsia="zh-CN"/>
        </w:rPr>
        <w:t xml:space="preserve"> </w:t>
      </w:r>
      <w:r>
        <w:rPr>
          <w:rFonts w:hint="eastAsia" w:ascii="仿宋" w:hAnsi="仿宋" w:eastAsia="仿宋" w:cs="仿宋"/>
          <w:b/>
          <w:bCs/>
          <w:color w:val="auto"/>
          <w:sz w:val="28"/>
          <w:szCs w:val="28"/>
          <w:lang w:val="en-US" w:eastAsia="zh-CN"/>
        </w:rPr>
        <w:t>单位工程</w:t>
      </w:r>
      <w:r>
        <w:rPr>
          <w:rFonts w:hint="eastAsia" w:ascii="仿宋_GB2312" w:hAnsi="方正仿宋_GB2312" w:eastAsia="仿宋_GB2312" w:cs="方正仿宋_GB2312"/>
          <w:b/>
          <w:bCs/>
          <w:color w:val="auto"/>
          <w:sz w:val="28"/>
          <w:szCs w:val="28"/>
          <w:lang w:eastAsia="zh-CN"/>
        </w:rPr>
        <w:t>竣工</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过程</w:t>
      </w:r>
      <w:r>
        <w:rPr>
          <w:rFonts w:hint="eastAsia" w:ascii="仿宋_GB2312" w:hAnsi="方正仿宋_GB2312" w:cs="方正仿宋_GB2312"/>
          <w:b/>
          <w:bCs/>
          <w:color w:val="auto"/>
          <w:sz w:val="28"/>
          <w:szCs w:val="28"/>
          <w:lang w:eastAsia="zh-CN"/>
        </w:rPr>
        <w:t>）</w:t>
      </w:r>
      <w:r>
        <w:rPr>
          <w:rFonts w:hint="eastAsia" w:ascii="仿宋_GB2312" w:hAnsi="方正仿宋_GB2312" w:eastAsia="仿宋_GB2312" w:cs="方正仿宋_GB2312"/>
          <w:b/>
          <w:bCs/>
          <w:color w:val="auto"/>
          <w:sz w:val="28"/>
          <w:szCs w:val="28"/>
          <w:lang w:eastAsia="zh-CN"/>
        </w:rPr>
        <w:t>结算汇总表</w:t>
      </w:r>
    </w:p>
    <w:p w14:paraId="690E37D4">
      <w:pPr>
        <w:widowControl w:val="0"/>
        <w:kinsoku/>
        <w:autoSpaceDE/>
        <w:autoSpaceDN/>
        <w:adjustRightInd/>
        <w:snapToGrid/>
        <w:spacing w:line="6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工程名称：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 xml:space="preserve">                            第  页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共  页</w:t>
      </w:r>
    </w:p>
    <w:tbl>
      <w:tblPr>
        <w:tblStyle w:val="4"/>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845"/>
        <w:gridCol w:w="1017"/>
        <w:gridCol w:w="950"/>
        <w:gridCol w:w="983"/>
        <w:gridCol w:w="3235"/>
      </w:tblGrid>
      <w:tr w14:paraId="0A71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14" w:type="dxa"/>
            <w:vMerge w:val="restart"/>
            <w:tcBorders>
              <w:top w:val="single" w:color="000000" w:sz="4" w:space="0"/>
              <w:left w:val="single" w:color="000000" w:sz="4" w:space="0"/>
              <w:bottom w:val="single" w:color="000000" w:sz="4" w:space="0"/>
              <w:right w:val="single" w:color="000000" w:sz="4" w:space="0"/>
            </w:tcBorders>
            <w:noWrap/>
            <w:vAlign w:val="center"/>
          </w:tcPr>
          <w:p w14:paraId="2133505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2845" w:type="dxa"/>
            <w:vMerge w:val="restart"/>
            <w:tcBorders>
              <w:top w:val="single" w:color="000000" w:sz="4" w:space="0"/>
              <w:left w:val="single" w:color="000000" w:sz="4" w:space="0"/>
              <w:bottom w:val="single" w:color="000000" w:sz="4" w:space="0"/>
              <w:right w:val="single" w:color="000000" w:sz="4" w:space="0"/>
            </w:tcBorders>
            <w:noWrap/>
            <w:vAlign w:val="center"/>
          </w:tcPr>
          <w:p w14:paraId="7040D60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项目内容</w:t>
            </w:r>
          </w:p>
        </w:tc>
        <w:tc>
          <w:tcPr>
            <w:tcW w:w="1017" w:type="dxa"/>
            <w:tcBorders>
              <w:top w:val="single" w:color="000000" w:sz="4" w:space="0"/>
              <w:left w:val="single" w:color="000000" w:sz="4" w:space="0"/>
              <w:bottom w:val="single" w:color="auto" w:sz="4" w:space="0"/>
              <w:right w:val="single" w:color="000000" w:sz="4" w:space="0"/>
            </w:tcBorders>
            <w:noWrap/>
            <w:vAlign w:val="center"/>
          </w:tcPr>
          <w:p w14:paraId="3DD2114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合同金额</w:t>
            </w:r>
          </w:p>
          <w:p w14:paraId="5640BA5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950" w:type="dxa"/>
            <w:tcBorders>
              <w:top w:val="single" w:color="000000" w:sz="4" w:space="0"/>
              <w:left w:val="single" w:color="000000" w:sz="4" w:space="0"/>
              <w:bottom w:val="single" w:color="auto" w:sz="4" w:space="0"/>
              <w:right w:val="single" w:color="000000" w:sz="4" w:space="0"/>
            </w:tcBorders>
            <w:noWrap/>
            <w:vAlign w:val="center"/>
          </w:tcPr>
          <w:p w14:paraId="7174132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合同价格</w:t>
            </w:r>
          </w:p>
          <w:p w14:paraId="3056EF0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调整金额</w:t>
            </w:r>
          </w:p>
          <w:p w14:paraId="10769EE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983" w:type="dxa"/>
            <w:tcBorders>
              <w:top w:val="single" w:color="000000" w:sz="4" w:space="0"/>
              <w:left w:val="single" w:color="000000" w:sz="4" w:space="0"/>
              <w:bottom w:val="single" w:color="auto" w:sz="4" w:space="0"/>
              <w:right w:val="single" w:color="000000" w:sz="4" w:space="0"/>
            </w:tcBorders>
            <w:noWrap/>
            <w:vAlign w:val="center"/>
          </w:tcPr>
          <w:p w14:paraId="195CB98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结算金额</w:t>
            </w:r>
          </w:p>
          <w:p w14:paraId="5C037A9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（元）</w:t>
            </w:r>
          </w:p>
        </w:tc>
        <w:tc>
          <w:tcPr>
            <w:tcW w:w="3235" w:type="dxa"/>
            <w:vMerge w:val="restart"/>
            <w:tcBorders>
              <w:top w:val="single" w:color="000000" w:sz="4" w:space="0"/>
              <w:left w:val="single" w:color="000000" w:sz="4" w:space="0"/>
              <w:bottom w:val="single" w:color="000000" w:sz="4" w:space="0"/>
              <w:right w:val="single" w:color="000000" w:sz="4" w:space="0"/>
            </w:tcBorders>
            <w:noWrap/>
            <w:vAlign w:val="center"/>
          </w:tcPr>
          <w:p w14:paraId="08CF33B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备注</w:t>
            </w:r>
          </w:p>
        </w:tc>
      </w:tr>
      <w:tr w14:paraId="3B2E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14" w:type="dxa"/>
            <w:vMerge w:val="continue"/>
            <w:tcBorders>
              <w:top w:val="single" w:color="000000" w:sz="4" w:space="0"/>
              <w:left w:val="single" w:color="000000" w:sz="4" w:space="0"/>
              <w:bottom w:val="single" w:color="000000" w:sz="4" w:space="0"/>
              <w:right w:val="single" w:color="000000" w:sz="4" w:space="0"/>
            </w:tcBorders>
            <w:noWrap/>
            <w:vAlign w:val="center"/>
          </w:tcPr>
          <w:p w14:paraId="7A0712E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2845" w:type="dxa"/>
            <w:vMerge w:val="continue"/>
            <w:tcBorders>
              <w:top w:val="single" w:color="000000" w:sz="4" w:space="0"/>
              <w:left w:val="single" w:color="000000" w:sz="4" w:space="0"/>
              <w:bottom w:val="single" w:color="000000" w:sz="4" w:space="0"/>
              <w:right w:val="single" w:color="000000" w:sz="4" w:space="0"/>
            </w:tcBorders>
            <w:noWrap/>
            <w:vAlign w:val="center"/>
          </w:tcPr>
          <w:p w14:paraId="7BE3D1E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1017" w:type="dxa"/>
            <w:tcBorders>
              <w:top w:val="single" w:color="auto" w:sz="4" w:space="0"/>
              <w:left w:val="single" w:color="000000" w:sz="4" w:space="0"/>
              <w:bottom w:val="single" w:color="000000" w:sz="4" w:space="0"/>
              <w:right w:val="single" w:color="000000" w:sz="4" w:space="0"/>
            </w:tcBorders>
            <w:noWrap/>
            <w:vAlign w:val="center"/>
          </w:tcPr>
          <w:p w14:paraId="03117C1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w:t>
            </w:r>
          </w:p>
        </w:tc>
        <w:tc>
          <w:tcPr>
            <w:tcW w:w="950" w:type="dxa"/>
            <w:tcBorders>
              <w:top w:val="single" w:color="auto" w:sz="4" w:space="0"/>
              <w:left w:val="single" w:color="000000" w:sz="4" w:space="0"/>
              <w:bottom w:val="single" w:color="000000" w:sz="4" w:space="0"/>
              <w:right w:val="single" w:color="000000" w:sz="4" w:space="0"/>
            </w:tcBorders>
            <w:noWrap/>
            <w:vAlign w:val="center"/>
          </w:tcPr>
          <w:p w14:paraId="6FA9DA0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B</w:t>
            </w:r>
          </w:p>
        </w:tc>
        <w:tc>
          <w:tcPr>
            <w:tcW w:w="983" w:type="dxa"/>
            <w:tcBorders>
              <w:top w:val="single" w:color="auto" w:sz="4" w:space="0"/>
              <w:left w:val="single" w:color="000000" w:sz="4" w:space="0"/>
              <w:bottom w:val="single" w:color="000000" w:sz="4" w:space="0"/>
              <w:right w:val="single" w:color="000000" w:sz="4" w:space="0"/>
            </w:tcBorders>
            <w:noWrap/>
            <w:vAlign w:val="center"/>
          </w:tcPr>
          <w:p w14:paraId="7C168D6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C=A+B</w:t>
            </w:r>
          </w:p>
        </w:tc>
        <w:tc>
          <w:tcPr>
            <w:tcW w:w="3235" w:type="dxa"/>
            <w:vMerge w:val="continue"/>
            <w:tcBorders>
              <w:top w:val="single" w:color="000000" w:sz="4" w:space="0"/>
              <w:left w:val="single" w:color="000000" w:sz="4" w:space="0"/>
              <w:bottom w:val="single" w:color="000000" w:sz="4" w:space="0"/>
              <w:right w:val="single" w:color="000000" w:sz="4" w:space="0"/>
            </w:tcBorders>
            <w:noWrap/>
            <w:vAlign w:val="center"/>
          </w:tcPr>
          <w:p w14:paraId="508159F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r w14:paraId="51F32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6060B14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980137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分部分项工程项目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CB0797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FB68C0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2474E1C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7C1D539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详见《计价标准》表E.7.1</w:t>
            </w:r>
          </w:p>
        </w:tc>
      </w:tr>
      <w:tr w14:paraId="4DB87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0E5F4A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1A202F9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措施项目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F12E49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03C357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6FC766E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4A414C2">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详见《计价标准》表E.7.2</w:t>
            </w:r>
          </w:p>
        </w:tc>
      </w:tr>
      <w:tr w14:paraId="398E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4ADC3A3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1957C37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其中：安全施工费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42C19D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4666ED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4E36F9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00C25A05">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r w14:paraId="7A5B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4E61B1C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85D58AC">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59F3B6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2E1C4A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168199F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3A3FB54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详见《计价标准》表E.4.1</w:t>
            </w:r>
          </w:p>
        </w:tc>
      </w:tr>
      <w:tr w14:paraId="7CC1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CDFDC3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C9A985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其中：暂列金额</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8C7933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C67C7F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37310C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4AD8984">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详见《计价标准》表E.4.2</w:t>
            </w:r>
          </w:p>
        </w:tc>
      </w:tr>
      <w:tr w14:paraId="7D4E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F5607B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3.2</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E8E789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其中：专业工程暂估价</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879B06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CFEDAF5">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376F9EF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300EF9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详见《计价标准》表E.4.3</w:t>
            </w:r>
          </w:p>
        </w:tc>
      </w:tr>
      <w:tr w14:paraId="681A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0F4F237A">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3.3</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54C664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其中：计日工</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80E4F5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7F5695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58DBF1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329F51F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详见《计价标准》表E.4.4</w:t>
            </w:r>
          </w:p>
        </w:tc>
      </w:tr>
      <w:tr w14:paraId="300B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77B75D5">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3.4</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77753AE">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其中：总承包服务费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ED90B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188FA8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62840A5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1CA2FAB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详见《计价标准》表E.4.5</w:t>
            </w:r>
          </w:p>
        </w:tc>
      </w:tr>
      <w:tr w14:paraId="61E2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F22B6D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3.5</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58780F5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其中：合同中约定其他项目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8C30B3D">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13B430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34E601CA">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3AB627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r w14:paraId="1EF4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CF412F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486CDF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材料暂估价调整</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EAB6A4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053416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7B0585C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51BC960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详见《计价标准》表E.2.3</w:t>
            </w:r>
          </w:p>
        </w:tc>
      </w:tr>
      <w:tr w14:paraId="4BFD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6E516F8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24885D8">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物价变化调差</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95E417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FC5B73F">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18A1E0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05DA64D7">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详见《计价标准》表G.2.1-1/G.2.1-2</w:t>
            </w:r>
          </w:p>
        </w:tc>
      </w:tr>
      <w:tr w14:paraId="7587F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1B1D2B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CB42556">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法律法规及政策性变化</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70884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5848EE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79AC2EC4">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7865AC2B">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详见《计价标准》表E.9.1</w:t>
            </w:r>
          </w:p>
        </w:tc>
      </w:tr>
      <w:tr w14:paraId="18F7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5589241B">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597A729F">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工程变更</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74B490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A0AEE1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262CBBFC">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2BB2B236">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详见《计价标准》表E.10.1</w:t>
            </w:r>
          </w:p>
        </w:tc>
      </w:tr>
      <w:tr w14:paraId="2A69C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3CA6C36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9C1B8F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新增工程</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590CEA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FBEF301">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5C929B6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4C3A1FB1">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p>
        </w:tc>
      </w:tr>
      <w:tr w14:paraId="4A90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332B247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0F9B1081">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工程索赔</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A919420">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0EA111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226D1C86">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23944B75">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详见《计价标准》表E.11.1</w:t>
            </w:r>
          </w:p>
        </w:tc>
      </w:tr>
      <w:tr w14:paraId="1A1A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1D6CB93">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7149890A">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发承包双方约定的其他项目调整</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87DB139">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1C07CC9">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281A370">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6E7EC65E">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p>
        </w:tc>
      </w:tr>
      <w:tr w14:paraId="53ED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4" w:type="dxa"/>
            <w:tcBorders>
              <w:top w:val="single" w:color="000000" w:sz="4" w:space="0"/>
              <w:left w:val="single" w:color="000000" w:sz="4" w:space="0"/>
              <w:bottom w:val="single" w:color="000000" w:sz="4" w:space="0"/>
              <w:right w:val="single" w:color="000000" w:sz="4" w:space="0"/>
            </w:tcBorders>
            <w:noWrap/>
            <w:vAlign w:val="center"/>
          </w:tcPr>
          <w:p w14:paraId="14805F3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11</w:t>
            </w:r>
          </w:p>
        </w:tc>
        <w:tc>
          <w:tcPr>
            <w:tcW w:w="2845" w:type="dxa"/>
            <w:tcBorders>
              <w:top w:val="single" w:color="000000" w:sz="4" w:space="0"/>
              <w:left w:val="single" w:color="000000" w:sz="4" w:space="0"/>
              <w:bottom w:val="single" w:color="000000" w:sz="4" w:space="0"/>
              <w:right w:val="single" w:color="000000" w:sz="4" w:space="0"/>
            </w:tcBorders>
            <w:noWrap/>
            <w:vAlign w:val="center"/>
          </w:tcPr>
          <w:p w14:paraId="297A0B83">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增值税</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73F0975">
            <w:pPr>
              <w:keepNext w:val="0"/>
              <w:keepLines w:val="0"/>
              <w:widowControl w:val="0"/>
              <w:suppressLineNumbers w:val="0"/>
              <w:kinsoku/>
              <w:autoSpaceDE/>
              <w:autoSpaceDN/>
              <w:adjustRightInd/>
              <w:snapToGrid/>
              <w:spacing w:before="0" w:beforeAutospacing="0" w:after="0" w:afterAutospacing="0" w:line="300" w:lineRule="exact"/>
              <w:ind w:left="0" w:right="0"/>
              <w:jc w:val="both"/>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775398AC">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611CDD67">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43BEB92C">
            <w:pPr>
              <w:keepNext w:val="0"/>
              <w:keepLines w:val="0"/>
              <w:widowControl w:val="0"/>
              <w:suppressLineNumbers w:val="0"/>
              <w:kinsoku/>
              <w:autoSpaceDE/>
              <w:autoSpaceDN/>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详见《计价标准》表E.5.1</w:t>
            </w:r>
          </w:p>
        </w:tc>
      </w:tr>
      <w:tr w14:paraId="3A1E7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559" w:type="dxa"/>
            <w:gridSpan w:val="2"/>
            <w:tcBorders>
              <w:top w:val="single" w:color="000000" w:sz="4" w:space="0"/>
              <w:left w:val="single" w:color="000000" w:sz="4" w:space="0"/>
              <w:bottom w:val="single" w:color="000000" w:sz="4" w:space="0"/>
              <w:right w:val="single" w:color="000000" w:sz="4" w:space="0"/>
            </w:tcBorders>
            <w:noWrap/>
            <w:vAlign w:val="center"/>
          </w:tcPr>
          <w:p w14:paraId="668C567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合计</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2097BE">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DE16892">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960C428">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c>
          <w:tcPr>
            <w:tcW w:w="3235" w:type="dxa"/>
            <w:tcBorders>
              <w:top w:val="single" w:color="000000" w:sz="4" w:space="0"/>
              <w:left w:val="single" w:color="000000" w:sz="4" w:space="0"/>
              <w:bottom w:val="single" w:color="000000" w:sz="4" w:space="0"/>
              <w:right w:val="single" w:color="000000" w:sz="4" w:space="0"/>
            </w:tcBorders>
            <w:noWrap/>
            <w:vAlign w:val="center"/>
          </w:tcPr>
          <w:p w14:paraId="49EADFBD">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1"/>
                <w:szCs w:val="21"/>
                <w:lang w:eastAsia="zh-CN"/>
              </w:rPr>
            </w:pPr>
          </w:p>
        </w:tc>
      </w:tr>
    </w:tbl>
    <w:p w14:paraId="1BEEBC80">
      <w:pPr>
        <w:widowControl w:val="0"/>
        <w:autoSpaceDN/>
        <w:spacing w:line="620" w:lineRule="exact"/>
        <w:ind w:firstLine="600" w:firstLineChars="200"/>
        <w:jc w:val="left"/>
        <w:rPr>
          <w:rFonts w:hint="eastAsia" w:ascii="方正小标宋简体" w:hAnsi="方正小标宋简体" w:eastAsia="方正小标宋简体" w:cs="方正小标宋简体"/>
          <w:color w:val="auto"/>
          <w:kern w:val="2"/>
          <w:sz w:val="30"/>
          <w:szCs w:val="30"/>
          <w:lang w:eastAsia="zh-CN" w:bidi="ar"/>
        </w:rPr>
      </w:pPr>
      <w:r>
        <w:rPr>
          <w:rFonts w:hint="eastAsia" w:ascii="方正小标宋简体" w:hAnsi="方正小标宋简体" w:eastAsia="方正小标宋简体" w:cs="方正小标宋简体"/>
          <w:color w:val="auto"/>
          <w:kern w:val="2"/>
          <w:sz w:val="30"/>
          <w:szCs w:val="30"/>
          <w:lang w:eastAsia="zh-CN" w:bidi="ar"/>
        </w:rPr>
        <w:t>七、工程量清单补充</w:t>
      </w:r>
    </w:p>
    <w:p w14:paraId="1495C25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（一）分部分项工程补充清单</w:t>
      </w:r>
    </w:p>
    <w:p w14:paraId="2B6B89D7">
      <w:pPr>
        <w:widowControl w:val="0"/>
        <w:kinsoku/>
        <w:autoSpaceDE/>
        <w:autoSpaceDN/>
        <w:adjustRightInd/>
        <w:snapToGrid/>
        <w:spacing w:line="620" w:lineRule="exact"/>
        <w:jc w:val="center"/>
        <w:textAlignment w:val="auto"/>
        <w:rPr>
          <w:rFonts w:hint="eastAsia" w:ascii="仿宋_GB2312" w:hAnsi="仿宋" w:eastAsia="仿宋_GB2312" w:cs="仿宋"/>
          <w:b/>
          <w:bCs/>
          <w:color w:val="auto"/>
          <w:sz w:val="28"/>
          <w:szCs w:val="28"/>
          <w:lang w:eastAsia="zh-CN"/>
        </w:rPr>
      </w:pPr>
    </w:p>
    <w:p w14:paraId="14D9FB55">
      <w:pPr>
        <w:widowControl w:val="0"/>
        <w:kinsoku/>
        <w:autoSpaceDE/>
        <w:autoSpaceDN/>
        <w:adjustRightInd/>
        <w:snapToGrid/>
        <w:spacing w:line="620" w:lineRule="exact"/>
        <w:jc w:val="center"/>
        <w:textAlignment w:val="auto"/>
        <w:rPr>
          <w:rFonts w:hint="eastAsia" w:ascii="仿宋_GB2312" w:hAnsi="仿宋" w:eastAsia="仿宋_GB2312" w:cs="仿宋"/>
          <w:b/>
          <w:bCs/>
          <w:color w:val="auto"/>
          <w:sz w:val="28"/>
          <w:szCs w:val="28"/>
          <w:lang w:eastAsia="zh-CN"/>
        </w:rPr>
      </w:pPr>
      <w:r>
        <w:rPr>
          <w:rFonts w:hint="eastAsia" w:ascii="仿宋_GB2312" w:hAnsi="仿宋" w:eastAsia="仿宋_GB2312" w:cs="仿宋"/>
          <w:b/>
          <w:bCs/>
          <w:color w:val="auto"/>
          <w:sz w:val="28"/>
          <w:szCs w:val="28"/>
          <w:lang w:eastAsia="zh-CN"/>
        </w:rPr>
        <w:t>分部分项工程补充清单</w:t>
      </w:r>
    </w:p>
    <w:tbl>
      <w:tblPr>
        <w:tblStyle w:val="4"/>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246"/>
        <w:gridCol w:w="1230"/>
        <w:gridCol w:w="1225"/>
        <w:gridCol w:w="680"/>
        <w:gridCol w:w="3248"/>
        <w:gridCol w:w="2085"/>
      </w:tblGrid>
      <w:tr w14:paraId="32EA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673" w:hRule="atLeast"/>
          <w:jc w:val="center"/>
        </w:trPr>
        <w:tc>
          <w:tcPr>
            <w:tcW w:w="1246" w:type="dxa"/>
            <w:tcBorders>
              <w:top w:val="single" w:color="000000" w:sz="4" w:space="0"/>
              <w:left w:val="single" w:color="000000" w:sz="4" w:space="0"/>
              <w:bottom w:val="single" w:color="000000" w:sz="4" w:space="0"/>
              <w:right w:val="single" w:color="000000" w:sz="4" w:space="0"/>
            </w:tcBorders>
            <w:noWrap/>
            <w:vAlign w:val="center"/>
          </w:tcPr>
          <w:p w14:paraId="7EF70AC4">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项目编码</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591BAC3">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48F59DE2">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项目特征</w:t>
            </w:r>
          </w:p>
        </w:tc>
        <w:tc>
          <w:tcPr>
            <w:tcW w:w="680" w:type="dxa"/>
            <w:tcBorders>
              <w:top w:val="single" w:color="000000" w:sz="4" w:space="0"/>
              <w:left w:val="single" w:color="000000" w:sz="4" w:space="0"/>
              <w:bottom w:val="single" w:color="000000" w:sz="4" w:space="0"/>
              <w:right w:val="single" w:color="000000" w:sz="4" w:space="0"/>
            </w:tcBorders>
            <w:noWrap/>
            <w:vAlign w:val="center"/>
          </w:tcPr>
          <w:p w14:paraId="3E1CB760">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3248" w:type="dxa"/>
            <w:tcBorders>
              <w:top w:val="single" w:color="000000" w:sz="4" w:space="0"/>
              <w:left w:val="single" w:color="000000" w:sz="4" w:space="0"/>
              <w:bottom w:val="single" w:color="000000" w:sz="4" w:space="0"/>
              <w:right w:val="single" w:color="000000" w:sz="4" w:space="0"/>
            </w:tcBorders>
            <w:noWrap/>
            <w:vAlign w:val="center"/>
          </w:tcPr>
          <w:p w14:paraId="620E4168">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工程量计算规则</w:t>
            </w:r>
          </w:p>
        </w:tc>
        <w:tc>
          <w:tcPr>
            <w:tcW w:w="2085" w:type="dxa"/>
            <w:tcBorders>
              <w:top w:val="single" w:color="000000" w:sz="4" w:space="0"/>
              <w:left w:val="single" w:color="000000" w:sz="4" w:space="0"/>
              <w:bottom w:val="single" w:color="000000" w:sz="4" w:space="0"/>
              <w:right w:val="single" w:color="000000" w:sz="4" w:space="0"/>
            </w:tcBorders>
            <w:noWrap/>
            <w:vAlign w:val="center"/>
          </w:tcPr>
          <w:p w14:paraId="14DF3EBD">
            <w:pPr>
              <w:pStyle w:val="6"/>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工作内容</w:t>
            </w:r>
          </w:p>
        </w:tc>
      </w:tr>
      <w:tr w14:paraId="060E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68F2D114">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010502034</w:t>
            </w:r>
          </w:p>
        </w:tc>
        <w:tc>
          <w:tcPr>
            <w:tcW w:w="1230" w:type="dxa"/>
            <w:tcBorders>
              <w:top w:val="single" w:color="auto" w:sz="4" w:space="0"/>
              <w:left w:val="single" w:color="000000" w:sz="4" w:space="0"/>
              <w:bottom w:val="single" w:color="000000" w:sz="4" w:space="0"/>
              <w:right w:val="single" w:color="000000" w:sz="4" w:space="0"/>
            </w:tcBorders>
            <w:noWrap/>
            <w:vAlign w:val="center"/>
          </w:tcPr>
          <w:p w14:paraId="51A91ACC">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有梁板</w:t>
            </w:r>
          </w:p>
        </w:tc>
        <w:tc>
          <w:tcPr>
            <w:tcW w:w="1225" w:type="dxa"/>
            <w:vMerge w:val="restart"/>
            <w:tcBorders>
              <w:top w:val="single" w:color="auto" w:sz="4" w:space="0"/>
              <w:left w:val="single" w:color="000000" w:sz="4" w:space="0"/>
              <w:bottom w:val="single" w:color="000000" w:sz="4" w:space="0"/>
              <w:right w:val="single" w:color="000000" w:sz="4" w:space="0"/>
            </w:tcBorders>
            <w:noWrap/>
            <w:vAlign w:val="center"/>
          </w:tcPr>
          <w:p w14:paraId="03D61BBD">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1.混凝土种类</w:t>
            </w:r>
          </w:p>
          <w:p w14:paraId="60A1DBE4">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2.混凝土强度等级</w:t>
            </w:r>
          </w:p>
        </w:tc>
        <w:tc>
          <w:tcPr>
            <w:tcW w:w="680" w:type="dxa"/>
            <w:vMerge w:val="restart"/>
            <w:tcBorders>
              <w:top w:val="single" w:color="auto" w:sz="4" w:space="0"/>
              <w:left w:val="single" w:color="000000" w:sz="4" w:space="0"/>
              <w:bottom w:val="single" w:color="000000" w:sz="4" w:space="0"/>
              <w:right w:val="single" w:color="000000" w:sz="4" w:space="0"/>
            </w:tcBorders>
            <w:noWrap/>
            <w:vAlign w:val="center"/>
          </w:tcPr>
          <w:p w14:paraId="5459A7B8">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m³</w:t>
            </w:r>
          </w:p>
        </w:tc>
        <w:tc>
          <w:tcPr>
            <w:tcW w:w="3248" w:type="dxa"/>
            <w:tcBorders>
              <w:top w:val="single" w:color="auto" w:sz="4" w:space="0"/>
              <w:left w:val="single" w:color="000000" w:sz="4" w:space="0"/>
              <w:bottom w:val="single" w:color="auto" w:sz="4" w:space="0"/>
              <w:right w:val="single" w:color="000000" w:sz="4" w:space="0"/>
            </w:tcBorders>
            <w:noWrap/>
            <w:vAlign w:val="center"/>
          </w:tcPr>
          <w:p w14:paraId="0F501CE8">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按设计图示尺寸以体积计算，不扣除单个面积≤0.3m</w:t>
            </w:r>
            <w:r>
              <w:rPr>
                <w:rFonts w:hint="eastAsia" w:ascii="宋体" w:hAnsi="宋体" w:eastAsia="宋体" w:cs="宋体"/>
                <w:color w:val="auto"/>
                <w:sz w:val="21"/>
                <w:szCs w:val="21"/>
                <w:vertAlign w:val="superscript"/>
                <w:lang w:eastAsia="zh-CN"/>
              </w:rPr>
              <w:t>2</w:t>
            </w:r>
            <w:r>
              <w:rPr>
                <w:rFonts w:hint="eastAsia" w:ascii="宋体" w:hAnsi="宋体" w:eastAsia="宋体" w:cs="宋体"/>
                <w:color w:val="auto"/>
                <w:sz w:val="21"/>
                <w:szCs w:val="21"/>
                <w:lang w:eastAsia="zh-CN"/>
              </w:rPr>
              <w:t>的柱、垛以及孔洞所占体积。有梁板（包括主、次梁与板）按梁、板体积之和计算。</w:t>
            </w:r>
          </w:p>
        </w:tc>
        <w:tc>
          <w:tcPr>
            <w:tcW w:w="2085" w:type="dxa"/>
            <w:vMerge w:val="restart"/>
            <w:tcBorders>
              <w:top w:val="single" w:color="auto" w:sz="4" w:space="0"/>
              <w:left w:val="single" w:color="000000" w:sz="4" w:space="0"/>
              <w:bottom w:val="single" w:color="000000" w:sz="4" w:space="0"/>
              <w:right w:val="single" w:color="000000" w:sz="4" w:space="0"/>
            </w:tcBorders>
            <w:noWrap/>
            <w:vAlign w:val="center"/>
          </w:tcPr>
          <w:p w14:paraId="38CB3646">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混凝土输送、浇筑、</w:t>
            </w:r>
          </w:p>
          <w:p w14:paraId="079B6107">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振捣、养护</w:t>
            </w:r>
          </w:p>
        </w:tc>
      </w:tr>
      <w:tr w14:paraId="1A7A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000000" w:sz="4" w:space="0"/>
              <w:left w:val="single" w:color="000000" w:sz="4" w:space="0"/>
              <w:bottom w:val="single" w:color="000000" w:sz="4" w:space="0"/>
              <w:right w:val="single" w:color="000000" w:sz="4" w:space="0"/>
            </w:tcBorders>
            <w:noWrap/>
            <w:vAlign w:val="center"/>
          </w:tcPr>
          <w:p w14:paraId="3718E967">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010502035</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E631ECC">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阳台</w:t>
            </w:r>
          </w:p>
        </w:tc>
        <w:tc>
          <w:tcPr>
            <w:tcW w:w="1225" w:type="dxa"/>
            <w:vMerge w:val="continue"/>
            <w:tcBorders>
              <w:top w:val="single" w:color="000000" w:sz="4" w:space="0"/>
              <w:left w:val="single" w:color="000000" w:sz="4" w:space="0"/>
              <w:bottom w:val="single" w:color="000000" w:sz="4" w:space="0"/>
              <w:right w:val="single" w:color="000000" w:sz="4" w:space="0"/>
            </w:tcBorders>
            <w:noWrap/>
            <w:vAlign w:val="center"/>
          </w:tcPr>
          <w:p w14:paraId="0E04F44F">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p>
        </w:tc>
        <w:tc>
          <w:tcPr>
            <w:tcW w:w="680" w:type="dxa"/>
            <w:vMerge w:val="continue"/>
            <w:tcBorders>
              <w:top w:val="single" w:color="auto" w:sz="4" w:space="0"/>
              <w:left w:val="single" w:color="000000" w:sz="4" w:space="0"/>
              <w:bottom w:val="single" w:color="auto" w:sz="4" w:space="0"/>
              <w:right w:val="single" w:color="000000" w:sz="4" w:space="0"/>
            </w:tcBorders>
            <w:noWrap/>
            <w:vAlign w:val="center"/>
          </w:tcPr>
          <w:p w14:paraId="56FA494B">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p>
        </w:tc>
        <w:tc>
          <w:tcPr>
            <w:tcW w:w="3248" w:type="dxa"/>
            <w:tcBorders>
              <w:top w:val="single" w:color="auto" w:sz="4" w:space="0"/>
              <w:left w:val="single" w:color="000000" w:sz="4" w:space="0"/>
              <w:bottom w:val="single" w:color="auto" w:sz="4" w:space="0"/>
              <w:right w:val="single" w:color="000000" w:sz="4" w:space="0"/>
            </w:tcBorders>
            <w:noWrap/>
            <w:vAlign w:val="center"/>
          </w:tcPr>
          <w:p w14:paraId="5D880DBF">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按设计图示尺寸以墙外部分体积计算，包括伸出墙外的牛腿的体积。</w:t>
            </w:r>
          </w:p>
        </w:tc>
        <w:tc>
          <w:tcPr>
            <w:tcW w:w="2085" w:type="dxa"/>
            <w:vMerge w:val="continue"/>
            <w:tcBorders>
              <w:top w:val="nil"/>
              <w:left w:val="single" w:color="000000" w:sz="4" w:space="0"/>
              <w:bottom w:val="nil"/>
              <w:right w:val="single" w:color="000000" w:sz="4" w:space="0"/>
            </w:tcBorders>
            <w:noWrap/>
            <w:vAlign w:val="center"/>
          </w:tcPr>
          <w:p w14:paraId="2FA88681">
            <w:pPr>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p>
        </w:tc>
      </w:tr>
      <w:tr w14:paraId="1397E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000000" w:sz="4" w:space="0"/>
              <w:left w:val="single" w:color="000000" w:sz="4" w:space="0"/>
              <w:bottom w:val="single" w:color="auto" w:sz="4" w:space="0"/>
              <w:right w:val="single" w:color="000000" w:sz="4" w:space="0"/>
            </w:tcBorders>
            <w:noWrap/>
            <w:vAlign w:val="center"/>
          </w:tcPr>
          <w:p w14:paraId="072D8188">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010502036</w:t>
            </w:r>
          </w:p>
        </w:tc>
        <w:tc>
          <w:tcPr>
            <w:tcW w:w="1230" w:type="dxa"/>
            <w:tcBorders>
              <w:top w:val="single" w:color="000000" w:sz="4" w:space="0"/>
              <w:left w:val="single" w:color="000000" w:sz="4" w:space="0"/>
              <w:bottom w:val="single" w:color="auto" w:sz="4" w:space="0"/>
              <w:right w:val="single" w:color="000000" w:sz="4" w:space="0"/>
            </w:tcBorders>
            <w:noWrap/>
            <w:vAlign w:val="center"/>
          </w:tcPr>
          <w:p w14:paraId="459A5721">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楼梯</w:t>
            </w:r>
          </w:p>
        </w:tc>
        <w:tc>
          <w:tcPr>
            <w:tcW w:w="1225" w:type="dxa"/>
            <w:vMerge w:val="continue"/>
            <w:tcBorders>
              <w:top w:val="single" w:color="000000" w:sz="4" w:space="0"/>
              <w:left w:val="single" w:color="000000" w:sz="4" w:space="0"/>
              <w:bottom w:val="single" w:color="auto" w:sz="4" w:space="0"/>
              <w:right w:val="single" w:color="000000" w:sz="4" w:space="0"/>
            </w:tcBorders>
            <w:noWrap/>
            <w:vAlign w:val="center"/>
          </w:tcPr>
          <w:p w14:paraId="5EA31BA0">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p>
        </w:tc>
        <w:tc>
          <w:tcPr>
            <w:tcW w:w="680" w:type="dxa"/>
            <w:vMerge w:val="restart"/>
            <w:tcBorders>
              <w:top w:val="single" w:color="auto" w:sz="4" w:space="0"/>
              <w:left w:val="single" w:color="000000" w:sz="4" w:space="0"/>
              <w:bottom w:val="single" w:color="000000" w:sz="4" w:space="0"/>
              <w:right w:val="single" w:color="000000" w:sz="4" w:space="0"/>
            </w:tcBorders>
            <w:noWrap/>
            <w:vAlign w:val="center"/>
          </w:tcPr>
          <w:p w14:paraId="6B7A49B2">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m</w:t>
            </w:r>
            <w:r>
              <w:rPr>
                <w:rFonts w:hint="eastAsia" w:ascii="宋体" w:hAnsi="宋体" w:eastAsia="宋体" w:cs="宋体"/>
                <w:color w:val="auto"/>
                <w:sz w:val="21"/>
                <w:szCs w:val="21"/>
                <w:vertAlign w:val="superscript"/>
                <w:lang w:eastAsia="zh-CN"/>
              </w:rPr>
              <w:t>2</w:t>
            </w:r>
          </w:p>
        </w:tc>
        <w:tc>
          <w:tcPr>
            <w:tcW w:w="3248" w:type="dxa"/>
            <w:tcBorders>
              <w:top w:val="single" w:color="auto" w:sz="4" w:space="0"/>
              <w:left w:val="single" w:color="000000" w:sz="4" w:space="0"/>
              <w:bottom w:val="single" w:color="000000" w:sz="4" w:space="0"/>
              <w:right w:val="single" w:color="000000" w:sz="4" w:space="0"/>
            </w:tcBorders>
            <w:noWrap/>
            <w:vAlign w:val="center"/>
          </w:tcPr>
          <w:p w14:paraId="77C9AB3D">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按设计图示尺寸以水平投影面积计算,不扣除宽度≤500mm 的楼梯井，伸入墙内部分不计算。</w:t>
            </w:r>
          </w:p>
        </w:tc>
        <w:tc>
          <w:tcPr>
            <w:tcW w:w="2085" w:type="dxa"/>
            <w:vMerge w:val="continue"/>
            <w:tcBorders>
              <w:top w:val="nil"/>
              <w:left w:val="single" w:color="000000" w:sz="4" w:space="0"/>
              <w:bottom w:val="single" w:color="auto" w:sz="4" w:space="0"/>
              <w:right w:val="single" w:color="000000" w:sz="4" w:space="0"/>
            </w:tcBorders>
            <w:noWrap/>
            <w:vAlign w:val="center"/>
          </w:tcPr>
          <w:p w14:paraId="3DACCE84">
            <w:pPr>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p>
        </w:tc>
      </w:tr>
      <w:tr w14:paraId="2D85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3"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3F653BF7">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010505021</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0639D238">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有梁板模板</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6E80E72A">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板厚度：</w:t>
            </w:r>
          </w:p>
        </w:tc>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14:paraId="6B29AAB3">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p>
        </w:tc>
        <w:tc>
          <w:tcPr>
            <w:tcW w:w="3248" w:type="dxa"/>
            <w:tcBorders>
              <w:top w:val="single" w:color="auto" w:sz="4" w:space="0"/>
              <w:left w:val="single" w:color="000000" w:sz="4" w:space="0"/>
              <w:bottom w:val="single" w:color="auto" w:sz="4" w:space="0"/>
              <w:right w:val="single" w:color="000000" w:sz="4" w:space="0"/>
            </w:tcBorders>
            <w:noWrap/>
            <w:vAlign w:val="center"/>
          </w:tcPr>
          <w:p w14:paraId="2C9657E0">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按模板与现浇混凝土构件的接触面积计算。扣除单个面积＞0.3m</w:t>
            </w:r>
            <w:r>
              <w:rPr>
                <w:rFonts w:hint="eastAsia" w:ascii="宋体" w:hAnsi="宋体" w:eastAsia="宋体" w:cs="宋体"/>
                <w:color w:val="auto"/>
                <w:sz w:val="21"/>
                <w:szCs w:val="21"/>
                <w:vertAlign w:val="superscript"/>
                <w:lang w:eastAsia="zh-CN"/>
              </w:rPr>
              <w:t>2</w:t>
            </w:r>
            <w:r>
              <w:rPr>
                <w:rFonts w:hint="eastAsia" w:ascii="宋体" w:hAnsi="宋体" w:eastAsia="宋体" w:cs="宋体"/>
                <w:color w:val="auto"/>
                <w:sz w:val="21"/>
                <w:szCs w:val="21"/>
                <w:lang w:eastAsia="zh-CN"/>
              </w:rPr>
              <w:t>的孔洞所占面积，洞侧壁面积并入计算；不扣除单个面积≤0.3m</w:t>
            </w:r>
            <w:r>
              <w:rPr>
                <w:rFonts w:hint="eastAsia" w:ascii="宋体" w:hAnsi="宋体" w:eastAsia="宋体" w:cs="宋体"/>
                <w:color w:val="auto"/>
                <w:sz w:val="21"/>
                <w:szCs w:val="21"/>
                <w:vertAlign w:val="superscript"/>
                <w:lang w:eastAsia="zh-CN"/>
              </w:rPr>
              <w:t>2</w:t>
            </w:r>
            <w:r>
              <w:rPr>
                <w:rFonts w:hint="eastAsia" w:ascii="宋体" w:hAnsi="宋体" w:eastAsia="宋体" w:cs="宋体"/>
                <w:color w:val="auto"/>
                <w:sz w:val="21"/>
                <w:szCs w:val="21"/>
                <w:lang w:eastAsia="zh-CN"/>
              </w:rPr>
              <w:t>的孔洞所占的面积,洞侧壁面积亦不计算。</w:t>
            </w:r>
          </w:p>
        </w:tc>
        <w:tc>
          <w:tcPr>
            <w:tcW w:w="2085" w:type="dxa"/>
            <w:vMerge w:val="restart"/>
            <w:tcBorders>
              <w:top w:val="single" w:color="auto" w:sz="4" w:space="0"/>
              <w:left w:val="single" w:color="000000" w:sz="4" w:space="0"/>
              <w:bottom w:val="single" w:color="000000" w:sz="4" w:space="0"/>
              <w:right w:val="single" w:color="000000" w:sz="4" w:space="0"/>
            </w:tcBorders>
            <w:noWrap/>
            <w:vAlign w:val="center"/>
          </w:tcPr>
          <w:p w14:paraId="3C5E5A57">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1.模板制作</w:t>
            </w:r>
          </w:p>
          <w:p w14:paraId="0C4EB820">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2.模板及支撑安装</w:t>
            </w:r>
          </w:p>
          <w:p w14:paraId="1D28AF8E">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3.刷隔离剂</w:t>
            </w:r>
          </w:p>
          <w:p w14:paraId="168C46C3">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4.模板及支撑拆除</w:t>
            </w:r>
          </w:p>
          <w:p w14:paraId="353C8F2C">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5.清理模板粘结物</w:t>
            </w:r>
          </w:p>
          <w:p w14:paraId="76B346F1">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及模内杂物</w:t>
            </w:r>
          </w:p>
          <w:p w14:paraId="6520D53B">
            <w:pPr>
              <w:pStyle w:val="6"/>
              <w:keepNext w:val="0"/>
              <w:keepLines w:val="0"/>
              <w:suppressLineNumbers w:val="0"/>
              <w:spacing w:before="0" w:beforeAutospacing="0" w:after="0" w:afterAutospacing="0" w:line="300" w:lineRule="exact"/>
              <w:ind w:left="0" w:right="0" w:hanging="2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6.模板及支撑整理、 小修、堆放</w:t>
            </w:r>
          </w:p>
        </w:tc>
      </w:tr>
      <w:tr w14:paraId="0D96B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68DD6FB4">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010505022</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2CFE4F60">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阳台模板</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6D676DE6">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1.构件类型</w:t>
            </w:r>
          </w:p>
          <w:p w14:paraId="00A31D8A">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2.板厚度</w:t>
            </w:r>
          </w:p>
        </w:tc>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14:paraId="349FA07A">
            <w:pPr>
              <w:pStyle w:val="6"/>
              <w:keepNext w:val="0"/>
              <w:keepLines w:val="0"/>
              <w:suppressLineNumbers w:val="0"/>
              <w:spacing w:before="0" w:beforeAutospacing="0" w:after="0" w:afterAutospacing="0" w:line="300" w:lineRule="exact"/>
              <w:ind w:left="0" w:right="0"/>
              <w:rPr>
                <w:rFonts w:hint="eastAsia" w:ascii="宋体" w:hAnsi="宋体" w:eastAsia="宋体" w:cs="宋体"/>
                <w:color w:val="auto"/>
                <w:sz w:val="21"/>
                <w:szCs w:val="21"/>
                <w:lang w:eastAsia="zh-CN"/>
              </w:rPr>
            </w:pPr>
          </w:p>
        </w:tc>
        <w:tc>
          <w:tcPr>
            <w:tcW w:w="3248" w:type="dxa"/>
            <w:tcBorders>
              <w:top w:val="single" w:color="auto" w:sz="4" w:space="0"/>
              <w:left w:val="single" w:color="000000" w:sz="4" w:space="0"/>
              <w:bottom w:val="single" w:color="auto" w:sz="4" w:space="0"/>
              <w:right w:val="single" w:color="000000" w:sz="4" w:space="0"/>
            </w:tcBorders>
            <w:noWrap/>
            <w:vAlign w:val="center"/>
          </w:tcPr>
          <w:p w14:paraId="4BCE32FD">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按图示外挑部分尺寸的水平投影面积计算。 </w:t>
            </w: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14:paraId="0C6EACBE">
            <w:pPr>
              <w:pStyle w:val="6"/>
              <w:keepNext w:val="0"/>
              <w:keepLines w:val="0"/>
              <w:suppressLineNumbers w:val="0"/>
              <w:spacing w:before="0" w:beforeAutospacing="0" w:after="0" w:afterAutospacing="0" w:line="300" w:lineRule="exact"/>
              <w:ind w:left="0" w:right="0" w:hanging="28"/>
              <w:rPr>
                <w:rFonts w:hint="eastAsia" w:ascii="仿宋_GB2312" w:eastAsia="仿宋_GB2312"/>
                <w:color w:val="auto"/>
                <w:sz w:val="21"/>
                <w:szCs w:val="21"/>
                <w:lang w:eastAsia="zh-CN"/>
              </w:rPr>
            </w:pPr>
          </w:p>
        </w:tc>
      </w:tr>
      <w:tr w14:paraId="1292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82" w:hRule="atLeast"/>
          <w:jc w:val="center"/>
        </w:trPr>
        <w:tc>
          <w:tcPr>
            <w:tcW w:w="1246" w:type="dxa"/>
            <w:tcBorders>
              <w:top w:val="single" w:color="auto" w:sz="4" w:space="0"/>
              <w:left w:val="single" w:color="000000" w:sz="4" w:space="0"/>
              <w:bottom w:val="single" w:color="auto" w:sz="4" w:space="0"/>
              <w:right w:val="single" w:color="000000" w:sz="4" w:space="0"/>
            </w:tcBorders>
            <w:noWrap/>
            <w:vAlign w:val="center"/>
          </w:tcPr>
          <w:p w14:paraId="6CFD87D9">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010505023</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2FDACAB5">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楼梯模板</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77030553">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类型：</w:t>
            </w:r>
          </w:p>
        </w:tc>
        <w:tc>
          <w:tcPr>
            <w:tcW w:w="680" w:type="dxa"/>
            <w:vMerge w:val="continue"/>
            <w:tcBorders>
              <w:top w:val="single" w:color="000000" w:sz="4" w:space="0"/>
              <w:left w:val="single" w:color="000000" w:sz="4" w:space="0"/>
              <w:bottom w:val="single" w:color="auto" w:sz="4" w:space="0"/>
              <w:right w:val="single" w:color="000000" w:sz="4" w:space="0"/>
            </w:tcBorders>
            <w:noWrap/>
            <w:vAlign w:val="center"/>
          </w:tcPr>
          <w:p w14:paraId="54992FB4">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p>
        </w:tc>
        <w:tc>
          <w:tcPr>
            <w:tcW w:w="3248" w:type="dxa"/>
            <w:tcBorders>
              <w:top w:val="single" w:color="000000" w:sz="4" w:space="0"/>
              <w:left w:val="single" w:color="000000" w:sz="4" w:space="0"/>
              <w:bottom w:val="single" w:color="auto" w:sz="4" w:space="0"/>
              <w:right w:val="single" w:color="000000" w:sz="4" w:space="0"/>
            </w:tcBorders>
            <w:noWrap/>
            <w:vAlign w:val="center"/>
          </w:tcPr>
          <w:p w14:paraId="06607E6A">
            <w:pPr>
              <w:pStyle w:val="6"/>
              <w:keepNext w:val="0"/>
              <w:keepLines w:val="0"/>
              <w:suppressLineNumbers w:val="0"/>
              <w:spacing w:before="0" w:beforeAutospacing="0" w:after="0" w:afterAutospacing="0" w:line="300" w:lineRule="exact"/>
              <w:ind w:left="0" w:right="0" w:firstLine="426" w:firstLineChars="203"/>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按设计图示尺寸以水平投影面积计算,不扣除宽度≤500mm 的楼梯井，伸入墙内部分不计算。</w:t>
            </w:r>
          </w:p>
        </w:tc>
        <w:tc>
          <w:tcPr>
            <w:tcW w:w="2085" w:type="dxa"/>
            <w:vMerge w:val="continue"/>
            <w:tcBorders>
              <w:top w:val="single" w:color="000000" w:sz="4" w:space="0"/>
              <w:left w:val="single" w:color="000000" w:sz="4" w:space="0"/>
              <w:bottom w:val="single" w:color="auto" w:sz="4" w:space="0"/>
              <w:right w:val="single" w:color="000000" w:sz="4" w:space="0"/>
            </w:tcBorders>
            <w:noWrap/>
            <w:vAlign w:val="center"/>
          </w:tcPr>
          <w:p w14:paraId="1F1ADD57">
            <w:pPr>
              <w:pStyle w:val="6"/>
              <w:keepNext w:val="0"/>
              <w:keepLines w:val="0"/>
              <w:suppressLineNumbers w:val="0"/>
              <w:spacing w:before="0" w:beforeAutospacing="0" w:after="0" w:afterAutospacing="0" w:line="300" w:lineRule="exact"/>
              <w:ind w:left="0" w:right="0" w:hanging="28"/>
              <w:rPr>
                <w:rFonts w:hint="eastAsia" w:ascii="仿宋_GB2312" w:eastAsia="仿宋_GB2312"/>
                <w:color w:val="auto"/>
                <w:sz w:val="21"/>
                <w:szCs w:val="21"/>
                <w:lang w:eastAsia="zh-CN"/>
              </w:rPr>
            </w:pPr>
          </w:p>
        </w:tc>
      </w:tr>
      <w:tr w14:paraId="4D9B0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397" w:hRule="atLeast"/>
          <w:jc w:val="center"/>
        </w:trPr>
        <w:tc>
          <w:tcPr>
            <w:tcW w:w="1246" w:type="dxa"/>
            <w:tcBorders>
              <w:top w:val="single" w:color="auto" w:sz="4" w:space="0"/>
              <w:left w:val="single" w:color="000000" w:sz="4" w:space="0"/>
              <w:bottom w:val="single" w:color="000000" w:sz="4" w:space="0"/>
              <w:right w:val="single" w:color="000000" w:sz="4" w:space="0"/>
            </w:tcBorders>
            <w:noWrap/>
            <w:vAlign w:val="center"/>
          </w:tcPr>
          <w:p w14:paraId="7AC59EA6">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010506028</w:t>
            </w:r>
          </w:p>
        </w:tc>
        <w:tc>
          <w:tcPr>
            <w:tcW w:w="1230" w:type="dxa"/>
            <w:tcBorders>
              <w:top w:val="single" w:color="auto" w:sz="4" w:space="0"/>
              <w:left w:val="single" w:color="000000" w:sz="4" w:space="0"/>
              <w:bottom w:val="single" w:color="auto" w:sz="4" w:space="0"/>
              <w:right w:val="single" w:color="000000" w:sz="4" w:space="0"/>
            </w:tcBorders>
            <w:noWrap/>
            <w:vAlign w:val="center"/>
          </w:tcPr>
          <w:p w14:paraId="6B1CA896">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现浇构件</w:t>
            </w:r>
          </w:p>
          <w:p w14:paraId="7A6FFA90">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钢筋</w:t>
            </w:r>
          </w:p>
        </w:tc>
        <w:tc>
          <w:tcPr>
            <w:tcW w:w="1225" w:type="dxa"/>
            <w:tcBorders>
              <w:top w:val="single" w:color="auto" w:sz="4" w:space="0"/>
              <w:left w:val="single" w:color="000000" w:sz="4" w:space="0"/>
              <w:bottom w:val="single" w:color="auto" w:sz="4" w:space="0"/>
              <w:right w:val="single" w:color="000000" w:sz="4" w:space="0"/>
            </w:tcBorders>
            <w:noWrap/>
            <w:vAlign w:val="center"/>
          </w:tcPr>
          <w:p w14:paraId="4F32EE94">
            <w:pPr>
              <w:pStyle w:val="6"/>
              <w:keepNext w:val="0"/>
              <w:keepLines w:val="0"/>
              <w:suppressLineNumbers w:val="0"/>
              <w:spacing w:before="0" w:beforeAutospacing="0" w:after="0" w:afterAutospacing="0" w:line="300" w:lineRule="exact"/>
              <w:ind w:left="0" w:right="0" w:hanging="2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钢筋种类、规格</w:t>
            </w:r>
          </w:p>
        </w:tc>
        <w:tc>
          <w:tcPr>
            <w:tcW w:w="680" w:type="dxa"/>
            <w:tcBorders>
              <w:top w:val="single" w:color="auto" w:sz="4" w:space="0"/>
              <w:left w:val="single" w:color="000000" w:sz="4" w:space="0"/>
              <w:bottom w:val="single" w:color="auto" w:sz="4" w:space="0"/>
              <w:right w:val="single" w:color="000000" w:sz="4" w:space="0"/>
            </w:tcBorders>
            <w:noWrap/>
            <w:vAlign w:val="center"/>
          </w:tcPr>
          <w:p w14:paraId="7DA606E5">
            <w:pPr>
              <w:pStyle w:val="6"/>
              <w:keepNext w:val="0"/>
              <w:keepLines w:val="0"/>
              <w:suppressLineNumbers w:val="0"/>
              <w:spacing w:before="0" w:beforeAutospacing="0" w:after="0" w:afterAutospacing="0" w:line="3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t</w:t>
            </w:r>
          </w:p>
        </w:tc>
        <w:tc>
          <w:tcPr>
            <w:tcW w:w="3248" w:type="dxa"/>
            <w:tcBorders>
              <w:top w:val="single" w:color="auto" w:sz="4" w:space="0"/>
              <w:left w:val="single" w:color="000000" w:sz="4" w:space="0"/>
              <w:bottom w:val="single" w:color="auto" w:sz="4" w:space="0"/>
              <w:right w:val="single" w:color="000000" w:sz="4" w:space="0"/>
            </w:tcBorders>
            <w:noWrap/>
            <w:vAlign w:val="center"/>
          </w:tcPr>
          <w:p w14:paraId="65855FCA">
            <w:pPr>
              <w:pStyle w:val="6"/>
              <w:keepNext w:val="0"/>
              <w:keepLines w:val="0"/>
              <w:suppressLineNumbers w:val="0"/>
              <w:spacing w:before="0" w:beforeAutospacing="0" w:after="0" w:afterAutospacing="0" w:line="300" w:lineRule="exact"/>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按设计图示钢筋中心线长度乘以单位理论质量计算。设计</w:t>
            </w:r>
            <w:r>
              <w:rPr>
                <w:rFonts w:hint="eastAsia" w:cs="宋体"/>
                <w:color w:val="auto"/>
                <w:sz w:val="21"/>
                <w:szCs w:val="21"/>
                <w:lang w:eastAsia="zh-CN"/>
              </w:rPr>
              <w:t>（</w:t>
            </w:r>
            <w:r>
              <w:rPr>
                <w:rFonts w:hint="eastAsia" w:ascii="宋体" w:hAnsi="宋体" w:eastAsia="宋体" w:cs="宋体"/>
                <w:color w:val="auto"/>
                <w:sz w:val="21"/>
                <w:szCs w:val="21"/>
                <w:lang w:eastAsia="zh-CN"/>
              </w:rPr>
              <w:t>包括规范规定</w:t>
            </w:r>
            <w:r>
              <w:rPr>
                <w:rFonts w:hint="eastAsia" w:cs="宋体"/>
                <w:color w:val="auto"/>
                <w:sz w:val="21"/>
                <w:szCs w:val="21"/>
                <w:lang w:eastAsia="zh-CN"/>
              </w:rPr>
              <w:t>）</w:t>
            </w:r>
            <w:r>
              <w:rPr>
                <w:rFonts w:hint="eastAsia" w:ascii="宋体" w:hAnsi="宋体" w:eastAsia="宋体" w:cs="宋体"/>
                <w:color w:val="auto"/>
                <w:sz w:val="21"/>
                <w:szCs w:val="21"/>
                <w:lang w:eastAsia="zh-CN"/>
              </w:rPr>
              <w:t>标明的搭接和锚固长度应并入计算，设计未标明搭接（接头）位置的，φ10以内的长钢筋按每12m、φ10以上的长钢筋按每9m计算一个搭接（接头）。</w:t>
            </w:r>
          </w:p>
        </w:tc>
        <w:tc>
          <w:tcPr>
            <w:tcW w:w="2085" w:type="dxa"/>
            <w:tcBorders>
              <w:top w:val="single" w:color="auto" w:sz="4" w:space="0"/>
              <w:left w:val="single" w:color="000000" w:sz="4" w:space="0"/>
              <w:bottom w:val="single" w:color="auto" w:sz="4" w:space="0"/>
              <w:right w:val="single" w:color="000000" w:sz="4" w:space="0"/>
            </w:tcBorders>
            <w:noWrap/>
            <w:vAlign w:val="center"/>
          </w:tcPr>
          <w:p w14:paraId="72C29C00">
            <w:pPr>
              <w:pStyle w:val="6"/>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1.钢筋制作</w:t>
            </w:r>
          </w:p>
          <w:p w14:paraId="5B4E4825">
            <w:pPr>
              <w:pStyle w:val="6"/>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2.钢筋安装、固定</w:t>
            </w:r>
          </w:p>
          <w:p w14:paraId="7F88BE35">
            <w:pPr>
              <w:pStyle w:val="6"/>
              <w:keepNext w:val="0"/>
              <w:keepLines w:val="0"/>
              <w:suppressLineNumbers w:val="0"/>
              <w:spacing w:before="0" w:beforeAutospacing="0" w:after="0" w:afterAutospacing="0" w:line="300"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3.钢筋连接</w:t>
            </w:r>
          </w:p>
        </w:tc>
      </w:tr>
    </w:tbl>
    <w:p w14:paraId="6C1A421E">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（二）《计量标准》中各专业工程措施清单名称对应现行费用定额总价措施项目名称进行修改。</w:t>
      </w:r>
    </w:p>
    <w:tbl>
      <w:tblPr>
        <w:tblStyle w:val="4"/>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5"/>
        <w:gridCol w:w="4875"/>
      </w:tblGrid>
      <w:tr w14:paraId="2EB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021F4D9D">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2024清单措施项目名称</w:t>
            </w:r>
          </w:p>
        </w:tc>
        <w:tc>
          <w:tcPr>
            <w:tcW w:w="4875" w:type="dxa"/>
            <w:tcBorders>
              <w:top w:val="single" w:color="auto" w:sz="4" w:space="0"/>
              <w:left w:val="single" w:color="auto" w:sz="4" w:space="0"/>
              <w:bottom w:val="single" w:color="auto" w:sz="4" w:space="0"/>
              <w:right w:val="single" w:color="auto" w:sz="4" w:space="0"/>
            </w:tcBorders>
            <w:noWrap/>
            <w:vAlign w:val="top"/>
          </w:tcPr>
          <w:p w14:paraId="5E3BAB78">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修改后措施项目名称</w:t>
            </w:r>
          </w:p>
        </w:tc>
      </w:tr>
      <w:tr w14:paraId="7CF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1C560198">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临时设施</w:t>
            </w:r>
          </w:p>
        </w:tc>
        <w:tc>
          <w:tcPr>
            <w:tcW w:w="4875" w:type="dxa"/>
            <w:tcBorders>
              <w:top w:val="single" w:color="auto" w:sz="4" w:space="0"/>
              <w:left w:val="single" w:color="auto" w:sz="4" w:space="0"/>
              <w:bottom w:val="single" w:color="auto" w:sz="4" w:space="0"/>
              <w:right w:val="single" w:color="auto" w:sz="4" w:space="0"/>
            </w:tcBorders>
            <w:noWrap/>
            <w:vAlign w:val="top"/>
          </w:tcPr>
          <w:p w14:paraId="0FE69462">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临时设施费</w:t>
            </w:r>
          </w:p>
        </w:tc>
      </w:tr>
      <w:tr w14:paraId="3B62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7333009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文明施工</w:t>
            </w:r>
          </w:p>
        </w:tc>
        <w:tc>
          <w:tcPr>
            <w:tcW w:w="4875" w:type="dxa"/>
            <w:tcBorders>
              <w:top w:val="single" w:color="auto" w:sz="4" w:space="0"/>
              <w:left w:val="single" w:color="auto" w:sz="4" w:space="0"/>
              <w:bottom w:val="single" w:color="auto" w:sz="4" w:space="0"/>
              <w:right w:val="single" w:color="auto" w:sz="4" w:space="0"/>
            </w:tcBorders>
            <w:noWrap/>
            <w:vAlign w:val="top"/>
          </w:tcPr>
          <w:p w14:paraId="0998384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文明施工费</w:t>
            </w:r>
          </w:p>
        </w:tc>
      </w:tr>
      <w:tr w14:paraId="5FE9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1481055E">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环境保护</w:t>
            </w:r>
          </w:p>
        </w:tc>
        <w:tc>
          <w:tcPr>
            <w:tcW w:w="4875" w:type="dxa"/>
            <w:tcBorders>
              <w:top w:val="single" w:color="auto" w:sz="4" w:space="0"/>
              <w:left w:val="single" w:color="auto" w:sz="4" w:space="0"/>
              <w:bottom w:val="single" w:color="auto" w:sz="4" w:space="0"/>
              <w:right w:val="single" w:color="auto" w:sz="4" w:space="0"/>
            </w:tcBorders>
            <w:noWrap/>
            <w:vAlign w:val="top"/>
          </w:tcPr>
          <w:p w14:paraId="297C4699">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环境保护费</w:t>
            </w:r>
          </w:p>
        </w:tc>
      </w:tr>
      <w:tr w14:paraId="41ED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576BC192">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安全</w:t>
            </w:r>
            <w:r>
              <w:rPr>
                <w:rFonts w:hint="eastAsia" w:ascii="宋体" w:hAnsi="宋体" w:eastAsia="宋体" w:cs="宋体"/>
                <w:color w:val="auto"/>
                <w:sz w:val="21"/>
                <w:szCs w:val="21"/>
                <w:lang w:eastAsia="zh-CN"/>
              </w:rPr>
              <w:t>生产</w:t>
            </w:r>
          </w:p>
        </w:tc>
        <w:tc>
          <w:tcPr>
            <w:tcW w:w="4875" w:type="dxa"/>
            <w:tcBorders>
              <w:top w:val="single" w:color="auto" w:sz="4" w:space="0"/>
              <w:left w:val="single" w:color="auto" w:sz="4" w:space="0"/>
              <w:bottom w:val="single" w:color="auto" w:sz="4" w:space="0"/>
              <w:right w:val="single" w:color="auto" w:sz="4" w:space="0"/>
            </w:tcBorders>
            <w:noWrap/>
            <w:vAlign w:val="top"/>
          </w:tcPr>
          <w:p w14:paraId="4584CA6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安全施工费</w:t>
            </w:r>
          </w:p>
        </w:tc>
      </w:tr>
      <w:tr w14:paraId="7C61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restart"/>
            <w:tcBorders>
              <w:top w:val="single" w:color="auto" w:sz="4" w:space="0"/>
              <w:left w:val="single" w:color="auto" w:sz="4" w:space="0"/>
              <w:bottom w:val="single" w:color="auto" w:sz="4" w:space="0"/>
              <w:right w:val="single" w:color="auto" w:sz="4" w:space="0"/>
            </w:tcBorders>
            <w:noWrap/>
            <w:vAlign w:val="center"/>
          </w:tcPr>
          <w:p w14:paraId="2CE9C5D3">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夜间施工增加</w:t>
            </w:r>
          </w:p>
        </w:tc>
        <w:tc>
          <w:tcPr>
            <w:tcW w:w="4875" w:type="dxa"/>
            <w:tcBorders>
              <w:top w:val="single" w:color="auto" w:sz="4" w:space="0"/>
              <w:left w:val="single" w:color="auto" w:sz="4" w:space="0"/>
              <w:bottom w:val="single" w:color="auto" w:sz="4" w:space="0"/>
              <w:right w:val="single" w:color="auto" w:sz="4" w:space="0"/>
            </w:tcBorders>
            <w:noWrap/>
            <w:vAlign w:val="top"/>
          </w:tcPr>
          <w:p w14:paraId="3D227B85">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夜间施工增加费</w:t>
            </w:r>
          </w:p>
        </w:tc>
      </w:tr>
      <w:tr w14:paraId="66C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continue"/>
            <w:tcBorders>
              <w:top w:val="single" w:color="auto" w:sz="4" w:space="0"/>
              <w:left w:val="single" w:color="auto" w:sz="4" w:space="0"/>
              <w:bottom w:val="single" w:color="auto" w:sz="4" w:space="0"/>
              <w:right w:val="single" w:color="auto" w:sz="4" w:space="0"/>
            </w:tcBorders>
            <w:noWrap/>
            <w:vAlign w:val="center"/>
          </w:tcPr>
          <w:p w14:paraId="1B992EE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p>
        </w:tc>
        <w:tc>
          <w:tcPr>
            <w:tcW w:w="4875" w:type="dxa"/>
            <w:tcBorders>
              <w:top w:val="single" w:color="auto" w:sz="4" w:space="0"/>
              <w:left w:val="single" w:color="auto" w:sz="4" w:space="0"/>
              <w:bottom w:val="single" w:color="auto" w:sz="4" w:space="0"/>
              <w:right w:val="single" w:color="auto" w:sz="4" w:space="0"/>
            </w:tcBorders>
            <w:noWrap/>
            <w:vAlign w:val="top"/>
          </w:tcPr>
          <w:p w14:paraId="28950C53">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非夜间施工增加费</w:t>
            </w:r>
          </w:p>
        </w:tc>
      </w:tr>
      <w:tr w14:paraId="477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center"/>
          </w:tcPr>
          <w:p w14:paraId="7830F37F">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二次搬运</w:t>
            </w:r>
          </w:p>
        </w:tc>
        <w:tc>
          <w:tcPr>
            <w:tcW w:w="4875" w:type="dxa"/>
            <w:tcBorders>
              <w:top w:val="single" w:color="auto" w:sz="4" w:space="0"/>
              <w:left w:val="single" w:color="auto" w:sz="4" w:space="0"/>
              <w:bottom w:val="single" w:color="auto" w:sz="4" w:space="0"/>
              <w:right w:val="single" w:color="auto" w:sz="4" w:space="0"/>
            </w:tcBorders>
            <w:noWrap/>
            <w:vAlign w:val="top"/>
          </w:tcPr>
          <w:p w14:paraId="04827DC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材料二次搬运费</w:t>
            </w:r>
          </w:p>
        </w:tc>
      </w:tr>
      <w:tr w14:paraId="794F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restart"/>
            <w:tcBorders>
              <w:top w:val="single" w:color="auto" w:sz="4" w:space="0"/>
              <w:left w:val="single" w:color="auto" w:sz="4" w:space="0"/>
              <w:bottom w:val="single" w:color="auto" w:sz="4" w:space="0"/>
              <w:right w:val="single" w:color="auto" w:sz="4" w:space="0"/>
            </w:tcBorders>
            <w:noWrap/>
            <w:vAlign w:val="center"/>
          </w:tcPr>
          <w:p w14:paraId="5E1CF0B8">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冬雨季施工增加</w:t>
            </w:r>
          </w:p>
        </w:tc>
        <w:tc>
          <w:tcPr>
            <w:tcW w:w="4875" w:type="dxa"/>
            <w:tcBorders>
              <w:top w:val="single" w:color="auto" w:sz="4" w:space="0"/>
              <w:left w:val="single" w:color="auto" w:sz="4" w:space="0"/>
              <w:bottom w:val="single" w:color="auto" w:sz="4" w:space="0"/>
              <w:right w:val="single" w:color="auto" w:sz="4" w:space="0"/>
            </w:tcBorders>
            <w:noWrap/>
            <w:vAlign w:val="top"/>
          </w:tcPr>
          <w:p w14:paraId="5BD50AE1">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冬季施工增加费</w:t>
            </w:r>
          </w:p>
        </w:tc>
      </w:tr>
      <w:tr w14:paraId="3FB5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vMerge w:val="continue"/>
            <w:tcBorders>
              <w:top w:val="single" w:color="auto" w:sz="4" w:space="0"/>
              <w:left w:val="single" w:color="auto" w:sz="4" w:space="0"/>
              <w:bottom w:val="single" w:color="auto" w:sz="4" w:space="0"/>
              <w:right w:val="single" w:color="auto" w:sz="4" w:space="0"/>
            </w:tcBorders>
            <w:noWrap/>
            <w:vAlign w:val="top"/>
          </w:tcPr>
          <w:p w14:paraId="454BDED7">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p>
        </w:tc>
        <w:tc>
          <w:tcPr>
            <w:tcW w:w="4875" w:type="dxa"/>
            <w:tcBorders>
              <w:top w:val="single" w:color="auto" w:sz="4" w:space="0"/>
              <w:left w:val="single" w:color="auto" w:sz="4" w:space="0"/>
              <w:bottom w:val="single" w:color="auto" w:sz="4" w:space="0"/>
              <w:right w:val="single" w:color="auto" w:sz="4" w:space="0"/>
            </w:tcBorders>
            <w:noWrap/>
            <w:vAlign w:val="top"/>
          </w:tcPr>
          <w:p w14:paraId="7526BEC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雨季施工增加费</w:t>
            </w:r>
          </w:p>
        </w:tc>
      </w:tr>
      <w:tr w14:paraId="354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53349CAA">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pacing w:val="9"/>
                <w:sz w:val="21"/>
                <w:szCs w:val="21"/>
                <w:lang w:eastAsia="zh-CN"/>
              </w:rPr>
              <w:t>既有建（构）筑物、</w:t>
            </w:r>
            <w:r>
              <w:rPr>
                <w:rFonts w:hint="eastAsia" w:ascii="宋体" w:hAnsi="宋体" w:eastAsia="宋体" w:cs="宋体"/>
                <w:color w:val="auto"/>
                <w:spacing w:val="2"/>
                <w:sz w:val="21"/>
                <w:szCs w:val="21"/>
                <w:lang w:eastAsia="zh-CN"/>
              </w:rPr>
              <w:t>设施保护</w:t>
            </w:r>
          </w:p>
        </w:tc>
        <w:tc>
          <w:tcPr>
            <w:tcW w:w="4875" w:type="dxa"/>
            <w:tcBorders>
              <w:top w:val="single" w:color="auto" w:sz="4" w:space="0"/>
              <w:left w:val="single" w:color="auto" w:sz="4" w:space="0"/>
              <w:bottom w:val="single" w:color="auto" w:sz="4" w:space="0"/>
              <w:right w:val="single" w:color="auto" w:sz="4" w:space="0"/>
            </w:tcBorders>
            <w:noWrap/>
            <w:vAlign w:val="top"/>
          </w:tcPr>
          <w:p w14:paraId="37D8B16C">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施工临时保护费</w:t>
            </w:r>
          </w:p>
        </w:tc>
      </w:tr>
      <w:tr w14:paraId="74EF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4875" w:type="dxa"/>
            <w:tcBorders>
              <w:top w:val="single" w:color="auto" w:sz="4" w:space="0"/>
              <w:left w:val="single" w:color="auto" w:sz="4" w:space="0"/>
              <w:bottom w:val="single" w:color="auto" w:sz="4" w:space="0"/>
              <w:right w:val="single" w:color="auto" w:sz="4" w:space="0"/>
            </w:tcBorders>
            <w:noWrap/>
            <w:vAlign w:val="top"/>
          </w:tcPr>
          <w:p w14:paraId="59FC72E4">
            <w:pPr>
              <w:pStyle w:val="6"/>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rPr>
              <w:t>已完工程及</w:t>
            </w:r>
            <w:r>
              <w:rPr>
                <w:rFonts w:hint="eastAsia" w:ascii="宋体" w:hAnsi="宋体" w:eastAsia="宋体" w:cs="宋体"/>
                <w:color w:val="auto"/>
                <w:spacing w:val="3"/>
                <w:sz w:val="21"/>
                <w:szCs w:val="21"/>
              </w:rPr>
              <w:t>设备保护</w:t>
            </w:r>
          </w:p>
        </w:tc>
        <w:tc>
          <w:tcPr>
            <w:tcW w:w="4875" w:type="dxa"/>
            <w:tcBorders>
              <w:top w:val="single" w:color="auto" w:sz="4" w:space="0"/>
              <w:left w:val="single" w:color="auto" w:sz="4" w:space="0"/>
              <w:bottom w:val="single" w:color="auto" w:sz="4" w:space="0"/>
              <w:right w:val="single" w:color="auto" w:sz="4" w:space="0"/>
            </w:tcBorders>
            <w:noWrap/>
            <w:vAlign w:val="top"/>
          </w:tcPr>
          <w:p w14:paraId="3C837BE7">
            <w:pPr>
              <w:pStyle w:val="6"/>
              <w:keepNext w:val="0"/>
              <w:keepLines w:val="0"/>
              <w:widowControl w:val="0"/>
              <w:suppressLineNumbers w:val="0"/>
              <w:spacing w:before="0" w:beforeAutospacing="0" w:after="0" w:afterAutospacing="0" w:line="400" w:lineRule="exact"/>
              <w:ind w:left="0" w:right="0" w:hanging="2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已完工程保护费</w:t>
            </w:r>
          </w:p>
        </w:tc>
      </w:tr>
    </w:tbl>
    <w:p w14:paraId="79D6B789">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（三）《计量标准》中各专业工程措施项目“临时设施”“文明施工”“环境保护”“安全生产”工作内容的包含范围，以现行定额中安全文明施工费相关规定为准。</w:t>
      </w:r>
    </w:p>
    <w:p w14:paraId="3C2B3B24">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四）《计量标准》中各专业工程措施项目“冬雨季施工增加”按“冬季施工增加费”“雨季施工增加费”分别列项，“夜间施工增加”按“夜间施工增加费”“非夜间施工增加费”分别列项，工作内容以现行定额中相关规定为准。</w:t>
      </w:r>
    </w:p>
    <w:p w14:paraId="3F4FECFF">
      <w:pPr>
        <w:keepNext w:val="0"/>
        <w:keepLines w:val="0"/>
        <w:pageBreakBefore w:val="0"/>
        <w:widowControl w:val="0"/>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spacing w:val="1"/>
          <w:kern w:val="2"/>
          <w:sz w:val="28"/>
          <w:szCs w:val="28"/>
          <w:lang w:val="en-US" w:eastAsia="zh-CN" w:bidi="ar-SA"/>
        </w:rPr>
      </w:pPr>
      <w:r>
        <w:rPr>
          <w:rFonts w:hint="eastAsia" w:ascii="仿宋" w:hAnsi="仿宋" w:eastAsia="仿宋" w:cs="仿宋"/>
          <w:spacing w:val="1"/>
          <w:kern w:val="2"/>
          <w:sz w:val="28"/>
          <w:szCs w:val="28"/>
          <w:lang w:val="en-US" w:eastAsia="zh-CN" w:bidi="ar-SA"/>
        </w:rPr>
        <w:t>（五）措施项目补充清单</w:t>
      </w:r>
    </w:p>
    <w:p w14:paraId="683641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方正仿宋_GB2312" w:eastAsia="仿宋_GB2312" w:cs="方正仿宋_GB2312"/>
          <w:b/>
          <w:bCs/>
          <w:color w:val="auto"/>
          <w:sz w:val="32"/>
          <w:szCs w:val="32"/>
          <w:lang w:eastAsia="zh-CN"/>
        </w:rPr>
      </w:pPr>
      <w:r>
        <w:rPr>
          <w:rFonts w:hint="eastAsia" w:ascii="仿宋_GB2312" w:hAnsi="方正仿宋_GB2312" w:eastAsia="仿宋_GB2312" w:cs="方正仿宋_GB2312"/>
          <w:b/>
          <w:bCs/>
          <w:color w:val="auto"/>
          <w:sz w:val="32"/>
          <w:szCs w:val="32"/>
          <w:lang w:eastAsia="zh-CN"/>
        </w:rPr>
        <w:t>措施项目补充清单</w:t>
      </w:r>
    </w:p>
    <w:tbl>
      <w:tblPr>
        <w:tblStyle w:val="4"/>
        <w:tblW w:w="9704"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5"/>
        <w:gridCol w:w="880"/>
        <w:gridCol w:w="6989"/>
      </w:tblGrid>
      <w:tr w14:paraId="4BBB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2DDB3E44">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项目名称</w:t>
            </w:r>
          </w:p>
        </w:tc>
        <w:tc>
          <w:tcPr>
            <w:tcW w:w="880" w:type="dxa"/>
            <w:tcBorders>
              <w:top w:val="single" w:color="000000" w:sz="4" w:space="0"/>
              <w:left w:val="single" w:color="000000" w:sz="4" w:space="0"/>
              <w:bottom w:val="single" w:color="000000" w:sz="4" w:space="0"/>
              <w:right w:val="single" w:color="000000" w:sz="4" w:space="0"/>
            </w:tcBorders>
            <w:noWrap/>
            <w:vAlign w:val="center"/>
          </w:tcPr>
          <w:p w14:paraId="7C7997C6">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单位</w:t>
            </w:r>
          </w:p>
        </w:tc>
        <w:tc>
          <w:tcPr>
            <w:tcW w:w="6989" w:type="dxa"/>
            <w:tcBorders>
              <w:top w:val="single" w:color="000000" w:sz="4" w:space="0"/>
              <w:left w:val="single" w:color="000000" w:sz="4" w:space="0"/>
              <w:bottom w:val="single" w:color="000000" w:sz="4" w:space="0"/>
              <w:right w:val="single" w:color="000000" w:sz="4" w:space="0"/>
            </w:tcBorders>
            <w:noWrap/>
            <w:vAlign w:val="center"/>
          </w:tcPr>
          <w:p w14:paraId="2A07319D">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工作内容</w:t>
            </w:r>
          </w:p>
        </w:tc>
      </w:tr>
      <w:tr w14:paraId="4660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835" w:type="dxa"/>
            <w:tcBorders>
              <w:top w:val="single" w:color="000000" w:sz="4" w:space="0"/>
              <w:left w:val="single" w:color="000000" w:sz="4" w:space="0"/>
              <w:bottom w:val="single" w:color="000000" w:sz="4" w:space="0"/>
              <w:right w:val="single" w:color="000000" w:sz="4" w:space="0"/>
            </w:tcBorders>
            <w:noWrap/>
            <w:vAlign w:val="center"/>
          </w:tcPr>
          <w:p w14:paraId="144E320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工程冬季维护费</w:t>
            </w:r>
          </w:p>
        </w:tc>
        <w:tc>
          <w:tcPr>
            <w:tcW w:w="880" w:type="dxa"/>
            <w:vMerge w:val="restart"/>
            <w:tcBorders>
              <w:top w:val="nil"/>
              <w:left w:val="single" w:color="000000" w:sz="4" w:space="0"/>
              <w:bottom w:val="single" w:color="000000" w:sz="4" w:space="0"/>
              <w:right w:val="single" w:color="000000" w:sz="4" w:space="0"/>
            </w:tcBorders>
            <w:noWrap/>
            <w:vAlign w:val="center"/>
          </w:tcPr>
          <w:p w14:paraId="3EFE5CA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项</w:t>
            </w:r>
          </w:p>
        </w:tc>
        <w:tc>
          <w:tcPr>
            <w:tcW w:w="6989" w:type="dxa"/>
            <w:tcBorders>
              <w:top w:val="single" w:color="000000" w:sz="4" w:space="0"/>
              <w:left w:val="single" w:color="000000" w:sz="4" w:space="0"/>
              <w:bottom w:val="single" w:color="000000" w:sz="4" w:space="0"/>
              <w:right w:val="single" w:color="000000" w:sz="4" w:space="0"/>
            </w:tcBorders>
            <w:noWrap/>
            <w:vAlign w:val="center"/>
          </w:tcPr>
          <w:p w14:paraId="0FBBD6C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工程冬季（当年11月1日至次年3月31日）停工后，对已完工程采取的覆盖、包裹、封闭、隔离、保温、防冻等冬季维护措施及现场看护。</w:t>
            </w:r>
          </w:p>
        </w:tc>
      </w:tr>
      <w:tr w14:paraId="5FC6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1835" w:type="dxa"/>
            <w:tcBorders>
              <w:top w:val="single" w:color="000000" w:sz="4" w:space="0"/>
              <w:left w:val="single" w:color="000000" w:sz="4" w:space="0"/>
              <w:bottom w:val="single" w:color="auto" w:sz="4" w:space="0"/>
              <w:right w:val="single" w:color="000000" w:sz="4" w:space="0"/>
            </w:tcBorders>
            <w:noWrap/>
            <w:vAlign w:val="center"/>
          </w:tcPr>
          <w:p w14:paraId="372B695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超高施工增加费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0452FE2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textAlignment w:val="auto"/>
              <w:rPr>
                <w:rFonts w:hint="eastAsia" w:ascii="宋体" w:hAnsi="宋体" w:eastAsia="宋体" w:cs="宋体"/>
                <w:color w:val="auto"/>
                <w:kern w:val="0"/>
                <w:sz w:val="21"/>
                <w:szCs w:val="21"/>
                <w:lang w:eastAsia="zh-CN"/>
              </w:rPr>
            </w:pPr>
          </w:p>
        </w:tc>
        <w:tc>
          <w:tcPr>
            <w:tcW w:w="6989" w:type="dxa"/>
            <w:tcBorders>
              <w:top w:val="single" w:color="000000" w:sz="4" w:space="0"/>
              <w:left w:val="single" w:color="000000" w:sz="4" w:space="0"/>
              <w:bottom w:val="single" w:color="auto" w:sz="4" w:space="0"/>
              <w:right w:val="single" w:color="000000" w:sz="4" w:space="0"/>
            </w:tcBorders>
            <w:noWrap/>
            <w:vAlign w:val="center"/>
          </w:tcPr>
          <w:p w14:paraId="6FB6271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1.建筑物超高引起的人工工效降低以及由于人工工效降低引起的机械降效；</w:t>
            </w:r>
          </w:p>
          <w:p w14:paraId="2D992B9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2.高层施工用水加压水泵的安装、拆除及工作台班；</w:t>
            </w:r>
          </w:p>
          <w:p w14:paraId="1C36100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3.通讯联络设备的使用及摊销。</w:t>
            </w:r>
            <w:bookmarkStart w:id="0" w:name="_GoBack"/>
            <w:bookmarkEnd w:id="0"/>
          </w:p>
        </w:tc>
      </w:tr>
      <w:tr w14:paraId="03AA0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835" w:type="dxa"/>
            <w:tcBorders>
              <w:top w:val="single" w:color="auto" w:sz="4" w:space="0"/>
              <w:left w:val="single" w:color="000000" w:sz="4" w:space="0"/>
              <w:bottom w:val="single" w:color="auto" w:sz="4" w:space="0"/>
              <w:right w:val="single" w:color="000000" w:sz="4" w:space="0"/>
            </w:tcBorders>
            <w:noWrap/>
            <w:vAlign w:val="center"/>
          </w:tcPr>
          <w:p w14:paraId="3C63BB9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系统调整费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0E306D7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textAlignment w:val="auto"/>
              <w:rPr>
                <w:rFonts w:hint="eastAsia" w:ascii="宋体" w:hAnsi="宋体" w:eastAsia="宋体" w:cs="宋体"/>
                <w:color w:val="auto"/>
                <w:kern w:val="0"/>
                <w:sz w:val="21"/>
                <w:szCs w:val="21"/>
                <w:lang w:eastAsia="zh-CN"/>
              </w:rPr>
            </w:pPr>
          </w:p>
        </w:tc>
        <w:tc>
          <w:tcPr>
            <w:tcW w:w="6989" w:type="dxa"/>
            <w:tcBorders>
              <w:top w:val="single" w:color="auto" w:sz="4" w:space="0"/>
              <w:left w:val="single" w:color="000000" w:sz="4" w:space="0"/>
              <w:bottom w:val="single" w:color="auto" w:sz="4" w:space="0"/>
              <w:right w:val="single" w:color="000000" w:sz="4" w:space="0"/>
            </w:tcBorders>
            <w:noWrap/>
            <w:vAlign w:val="center"/>
          </w:tcPr>
          <w:p w14:paraId="53B36BD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1.机械设备安装工程中独立的制冷站（库）、空气压缩站、乙炔发生站、水压机蓄势站、制氧站、煤气站等工程；</w:t>
            </w:r>
          </w:p>
          <w:p w14:paraId="15603610">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2.通风空调工程中通风空调工程；</w:t>
            </w:r>
          </w:p>
          <w:p w14:paraId="1D465BC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3.给排水、采暖、燃气工程中采暖工程及空调水系统工程系统调试。</w:t>
            </w:r>
          </w:p>
        </w:tc>
      </w:tr>
      <w:tr w14:paraId="4A7F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835" w:type="dxa"/>
            <w:tcBorders>
              <w:top w:val="single" w:color="auto" w:sz="4" w:space="0"/>
              <w:left w:val="single" w:color="000000" w:sz="4" w:space="0"/>
              <w:bottom w:val="single" w:color="auto" w:sz="4" w:space="0"/>
              <w:right w:val="single" w:color="000000" w:sz="4" w:space="0"/>
            </w:tcBorders>
            <w:noWrap/>
            <w:vAlign w:val="center"/>
          </w:tcPr>
          <w:p w14:paraId="7CFCCC6C">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操作高度增加费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458A70F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hanging="29"/>
              <w:textAlignment w:val="auto"/>
              <w:rPr>
                <w:rFonts w:hint="eastAsia" w:ascii="宋体" w:hAnsi="宋体" w:eastAsia="宋体" w:cs="宋体"/>
                <w:color w:val="auto"/>
                <w:kern w:val="0"/>
                <w:sz w:val="21"/>
                <w:szCs w:val="21"/>
                <w:lang w:eastAsia="zh-CN"/>
              </w:rPr>
            </w:pPr>
          </w:p>
        </w:tc>
        <w:tc>
          <w:tcPr>
            <w:tcW w:w="6989" w:type="dxa"/>
            <w:tcBorders>
              <w:top w:val="single" w:color="auto" w:sz="4" w:space="0"/>
              <w:left w:val="single" w:color="000000" w:sz="4" w:space="0"/>
              <w:bottom w:val="single" w:color="auto" w:sz="4" w:space="0"/>
              <w:right w:val="single" w:color="000000" w:sz="4" w:space="0"/>
            </w:tcBorders>
            <w:noWrap/>
            <w:vAlign w:val="center"/>
          </w:tcPr>
          <w:p w14:paraId="790FF17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室内以地（楼）平面为基准面，室外以设计室外地坪面为基准面，当安装操作高度超过6m时人工及机械降效。</w:t>
            </w:r>
          </w:p>
        </w:tc>
      </w:tr>
      <w:tr w14:paraId="2BBC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35" w:type="dxa"/>
            <w:tcBorders>
              <w:top w:val="single" w:color="auto" w:sz="4" w:space="0"/>
              <w:left w:val="single" w:color="000000" w:sz="4" w:space="0"/>
              <w:bottom w:val="single" w:color="000000" w:sz="4" w:space="0"/>
              <w:right w:val="single" w:color="000000" w:sz="4" w:space="0"/>
            </w:tcBorders>
            <w:noWrap/>
            <w:vAlign w:val="center"/>
          </w:tcPr>
          <w:p w14:paraId="51925AA9">
            <w:pPr>
              <w:pStyle w:val="6"/>
              <w:keepNext w:val="0"/>
              <w:keepLines w:val="0"/>
              <w:suppressLineNumbers w:val="0"/>
              <w:spacing w:before="0" w:beforeAutospacing="0" w:after="0" w:afterAutospacing="0" w:line="320" w:lineRule="exact"/>
              <w:ind w:left="0" w:right="0" w:hanging="29"/>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建筑物超高增加费</w:t>
            </w:r>
          </w:p>
        </w:tc>
        <w:tc>
          <w:tcPr>
            <w:tcW w:w="880" w:type="dxa"/>
            <w:vMerge w:val="continue"/>
            <w:tcBorders>
              <w:top w:val="single" w:color="000000" w:sz="4" w:space="0"/>
              <w:left w:val="single" w:color="000000" w:sz="4" w:space="0"/>
              <w:bottom w:val="single" w:color="000000" w:sz="4" w:space="0"/>
              <w:right w:val="single" w:color="000000" w:sz="4" w:space="0"/>
            </w:tcBorders>
            <w:noWrap/>
            <w:vAlign w:val="center"/>
          </w:tcPr>
          <w:p w14:paraId="654857AA">
            <w:pPr>
              <w:pStyle w:val="6"/>
              <w:keepNext w:val="0"/>
              <w:keepLines w:val="0"/>
              <w:suppressLineNumbers w:val="0"/>
              <w:spacing w:before="0" w:beforeAutospacing="0" w:after="0" w:afterAutospacing="0" w:line="320" w:lineRule="exact"/>
              <w:ind w:left="0" w:right="0" w:hanging="29"/>
              <w:rPr>
                <w:rFonts w:hint="eastAsia" w:ascii="宋体" w:hAnsi="宋体" w:eastAsia="宋体" w:cs="宋体"/>
                <w:color w:val="auto"/>
                <w:kern w:val="0"/>
                <w:sz w:val="21"/>
                <w:szCs w:val="21"/>
                <w:lang w:eastAsia="zh-CN"/>
              </w:rPr>
            </w:pPr>
          </w:p>
        </w:tc>
        <w:tc>
          <w:tcPr>
            <w:tcW w:w="6989" w:type="dxa"/>
            <w:tcBorders>
              <w:top w:val="single" w:color="auto" w:sz="4" w:space="0"/>
              <w:left w:val="single" w:color="000000" w:sz="4" w:space="0"/>
              <w:bottom w:val="single" w:color="000000" w:sz="4" w:space="0"/>
              <w:right w:val="single" w:color="000000" w:sz="4" w:space="0"/>
            </w:tcBorders>
            <w:noWrap/>
            <w:vAlign w:val="center"/>
          </w:tcPr>
          <w:p w14:paraId="720A22F1">
            <w:pPr>
              <w:pStyle w:val="6"/>
              <w:keepNext w:val="0"/>
              <w:keepLines w:val="0"/>
              <w:suppressLineNumbers w:val="0"/>
              <w:spacing w:before="0" w:beforeAutospacing="0" w:after="0" w:afterAutospacing="0" w:line="320" w:lineRule="exact"/>
              <w:ind w:left="0" w:right="0" w:firstLine="420" w:firstLineChars="20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建筑物超高引起的人工及机械降效。</w:t>
            </w:r>
          </w:p>
        </w:tc>
      </w:tr>
    </w:tbl>
    <w:p w14:paraId="35F486DB">
      <w:pPr>
        <w:keepNext w:val="0"/>
        <w:keepLines w:val="0"/>
        <w:pageBreakBefore w:val="0"/>
        <w:kinsoku/>
        <w:wordWrap/>
        <w:overflowPunct/>
        <w:topLinePunct w:val="0"/>
        <w:autoSpaceDN/>
        <w:bidi w:val="0"/>
        <w:adjustRightInd/>
        <w:snapToGrid/>
        <w:spacing w:line="240" w:lineRule="auto"/>
        <w:jc w:val="center"/>
        <w:outlineLvl w:val="3"/>
        <w:rPr>
          <w:rFonts w:hint="eastAsia" w:ascii="仿宋" w:hAnsi="仿宋" w:eastAsia="仿宋" w:cs="仿宋"/>
          <w:b/>
          <w:bCs/>
          <w:color w:val="auto"/>
          <w:sz w:val="32"/>
          <w:szCs w:val="32"/>
          <w:shd w:val="clear" w:color="FFFFFF" w:fill="D9D9D9"/>
          <w:lang w:val="en-US" w:eastAsia="zh-CN"/>
        </w:rPr>
      </w:pPr>
    </w:p>
    <w:p w14:paraId="1D45E4C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56115-D1A0-41AB-B9B7-D5C35E2EC1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335E068E-F398-4209-B46B-97F8802D63E5}"/>
  </w:font>
  <w:font w:name="仿宋">
    <w:panose1 w:val="02010609060101010101"/>
    <w:charset w:val="86"/>
    <w:family w:val="auto"/>
    <w:pitch w:val="default"/>
    <w:sig w:usb0="800002BF" w:usb1="38CF7CFA" w:usb2="00000016" w:usb3="00000000" w:csb0="00040001" w:csb1="00000000"/>
    <w:embedRegular r:id="rId3" w:fontKey="{FEDD4D67-3FBE-4E24-986D-65D3AD9300F7}"/>
  </w:font>
  <w:font w:name="方正仿宋_GB2312">
    <w:altName w:val="仿宋"/>
    <w:panose1 w:val="02000000000000000000"/>
    <w:charset w:val="86"/>
    <w:family w:val="auto"/>
    <w:pitch w:val="default"/>
    <w:sig w:usb0="00000000" w:usb1="00000000" w:usb2="00000010" w:usb3="00000000" w:csb0="00040000" w:csb1="00000000"/>
    <w:embedRegular r:id="rId4" w:fontKey="{A9B9CCE2-F95B-474F-AB2B-25D0AE0CC813}"/>
  </w:font>
  <w:font w:name="方正小标宋简体">
    <w:panose1 w:val="02000000000000000000"/>
    <w:charset w:val="86"/>
    <w:family w:val="auto"/>
    <w:pitch w:val="default"/>
    <w:sig w:usb0="00000001" w:usb1="08000000" w:usb2="00000000" w:usb3="00000000" w:csb0="00040000" w:csb1="00000000"/>
    <w:embedRegular r:id="rId5" w:fontKey="{5141A71F-2C3F-4239-83D5-98DA69A68679}"/>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2463D"/>
    <w:multiLevelType w:val="singleLevel"/>
    <w:tmpl w:val="E362463D"/>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264B"/>
    <w:rsid w:val="0205264B"/>
    <w:rsid w:val="0F6F3F81"/>
    <w:rsid w:val="2EEF770D"/>
    <w:rsid w:val="3A4E4270"/>
    <w:rsid w:val="5B2E3D47"/>
    <w:rsid w:val="5F0674B4"/>
    <w:rsid w:val="67E2003D"/>
    <w:rsid w:val="6E4D35B6"/>
    <w:rsid w:val="7FC7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5107</Words>
  <Characters>5475</Characters>
  <Lines>0</Lines>
  <Paragraphs>0</Paragraphs>
  <TotalTime>59</TotalTime>
  <ScaleCrop>false</ScaleCrop>
  <LinksUpToDate>false</LinksUpToDate>
  <CharactersWithSpaces>6112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2025-08-30T00:53:00Z</dcterms:created>
  <dc:creator>老大</dc:creator>
  <cp:lastModifiedBy>张鹏</cp:lastModifiedBy>
  <dcterms:modified xsi:type="dcterms:W3CDTF">2026-03-09T02:17:22Z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9B939A941E1A42F69DD9787BA65961EF_13</vt:lpwstr>
  </property>
  <property fmtid="{D5CDD505-2E9C-101B-9397-08002B2CF9AE}" pid="4" name="KSOTemplateDocerSaveRecord">
    <vt:lpwstr>eyJoZGlkIjoiNzA5NDZjYjE5MWYzNjU1YTc0MjcyMzBkOWRjYjk1Y2EiLCJ1c2VySWQiOiIyNjg2NTA4NzAifQ==</vt:lpwstr>
  </property>
</Properties>
</file>