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BB7B">
      <w:r>
        <w:drawing>
          <wp:inline distT="0" distB="0" distL="114300" distR="114300">
            <wp:extent cx="5269230" cy="63150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03FD"/>
    <w:p w14:paraId="0EEAD0F2"/>
    <w:p w14:paraId="1F4BA5E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外墙铝板，13清单，固定单价合同，外墙铝板的计算规则，墙的侧面及压顶、窗口侧壁外露部分，是否需要计算面积？（审计只按墙的正立面投影计算面积)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2026-06-05T03:14:31Z</dcterms:created>
  <dc:creator>l</dc:creator>
  <cp:lastModifiedBy>企业用户_494372648</cp:lastModifiedBy>
  <dcterms:modified xsi:type="dcterms:W3CDTF">2026-06-05T03:17:17Z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eyJoZGlkIjoiN2M2MDY4ZTNmZGY1NWJjMTBiMDJlMDI0ZmJhOGJhMTEiLCJ1c2VySWQiOiIxNTU0MzIwMzM1In0=</vt:lpwstr>
  </property>
  <property fmtid="{D5CDD505-2E9C-101B-9397-08002B2CF9AE}" pid="4" name="ICV">
    <vt:lpwstr>3532E17A6EB24D8BAD5D7BD91B178390_12</vt:lpwstr>
  </property>
</Properties>
</file>