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E7586">
      <w:r>
        <w:drawing>
          <wp:inline distT="0" distB="0" distL="114300" distR="114300">
            <wp:extent cx="5268595" cy="622935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13C72"/>
    <w:p w14:paraId="702076CB"/>
    <w:p w14:paraId="36ADE2A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13清单，固定单价合同，内墙板（金属复合板）计算规则，墙垛侧壁及矮墙压顶是否计算面积？（审计按墙的正立面投影计算面积）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2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2026-06-05T03:19:43Z</dcterms:created>
  <dc:creator>l</dc:creator>
  <cp:lastModifiedBy>企业用户_494372648</cp:lastModifiedBy>
  <dcterms:modified xsi:type="dcterms:W3CDTF">2026-06-05T03:21:11Z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eyJoZGlkIjoiN2M2MDY4ZTNmZGY1NWJjMTBiMDJlMDI0ZmJhOGJhMTEiLCJ1c2VySWQiOiIxNTU0MzIwMzM1In0=</vt:lpwstr>
  </property>
  <property fmtid="{D5CDD505-2E9C-101B-9397-08002B2CF9AE}" pid="4" name="ICV">
    <vt:lpwstr>E89EB749657C453F897C02F79EFA306A_12</vt:lpwstr>
  </property>
</Properties>
</file>