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40B6F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1.依据24定额新增，如下图户外台阶设计最薄处厚度为200mm，是否套用套用混凝土台阶定额？若套用此定额，定额含量如何调整？</w:t>
      </w:r>
    </w:p>
    <w:p w14:paraId="590D2EF5">
      <w:r>
        <w:drawing>
          <wp:inline distT="0" distB="0" distL="114300" distR="114300">
            <wp:extent cx="5142230" cy="6584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7040" r="2422"/>
                    <a:stretch>
                      <a:fillRect/>
                    </a:stretch>
                  </pic:blipFill>
                  <pic:spPr>
                    <a:xfrm>
                      <a:off x="0" y="0"/>
                      <a:ext cx="51422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10025" cy="3564255"/>
            <wp:effectExtent l="0" t="0" r="952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6342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bookmarkStart w:id="0" w:name="_GoBack"/>
      <w:r>
        <w:rPr>
          <w:rFonts w:hint="eastAsia"/>
          <w:b/>
          <w:bCs/>
          <w:lang w:val="en-US" w:eastAsia="zh-CN"/>
        </w:rPr>
        <w:t>在24定额中，下图中户外台阶的踏步面和踢步面石材设计不同，如何套取定额？如何分别列项，两个位置分别套用什么定额？如果要用台阶定额，主材如何修改？</w:t>
      </w:r>
    </w:p>
    <w:bookmarkEnd w:id="0"/>
    <w:p w14:paraId="563A3AEA"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310890" cy="3391535"/>
            <wp:effectExtent l="0" t="0" r="3810" b="18415"/>
            <wp:docPr id="3" name="图片 3" descr="户外台阶面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户外台阶面层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985B2"/>
    <w:multiLevelType w:val="singleLevel"/>
    <w:tmpl w:val="336985B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92A94"/>
    <w:rsid w:val="6695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60</Characters>
  <Lines>0</Lines>
  <Paragraphs>0</Paragraphs>
  <TotalTime>3</TotalTime>
  <ScaleCrop>false</ScaleCrop>
  <LinksUpToDate>false</LinksUpToDate>
  <CharactersWithSpaces>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2026-06-09T00:56:00Z</dcterms:created>
  <dc:creator>Administrator</dc:creator>
  <cp:lastModifiedBy>要笑要开心</cp:lastModifiedBy>
  <dcterms:modified xsi:type="dcterms:W3CDTF">2026-06-09T01:05:15Z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eyJoZGlkIjoiNjY3YTUyMmJjNWI2YzJjZTBmMTQ5MTQwMWQ2MWViZjYiLCJ1c2VySWQiOiI4OTU2NzEzNTAifQ==</vt:lpwstr>
  </property>
  <property fmtid="{D5CDD505-2E9C-101B-9397-08002B2CF9AE}" pid="4" name="ICV">
    <vt:lpwstr>3CEBC9B9F581428A907AABC303A06B95_12</vt:lpwstr>
  </property>
</Properties>
</file>