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spacing w:val="0"/>
          <w:sz w:val="19"/>
          <w:szCs w:val="19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spacing w:val="0"/>
          <w:sz w:val="19"/>
          <w:szCs w:val="19"/>
          <w:shd w:val="clear" w:fill="FFFFFF"/>
        </w:rPr>
        <w:t>《吉林省安装工程计价定额》(JLJD-AZ-2024)，C.11通信设备及线路工程，C11-0658光缆接续 (熔接法)</w:t>
      </w:r>
    </w:p>
    <w:p>
      <w:r>
        <w:drawing>
          <wp:inline distT="0" distB="0" distL="114300" distR="114300">
            <wp:extent cx="3589655" cy="3762375"/>
            <wp:effectExtent l="0" t="0" r="698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965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信息产业部通信定额</w:t>
      </w:r>
    </w:p>
    <w:p>
      <w:pPr>
        <w:rPr>
          <w:rFonts w:hint="default"/>
          <w:lang w:val="en-US" w:eastAsia="zh-CN"/>
        </w:rPr>
      </w:pPr>
      <w:bookmarkStart w:id="0" w:name="_GoBack"/>
      <w:r>
        <w:drawing>
          <wp:inline distT="0" distB="0" distL="114300" distR="114300">
            <wp:extent cx="5360035" cy="2193290"/>
            <wp:effectExtent l="0" t="0" r="444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0035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B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2026-03-09T01:31:08Z</dcterms:created>
  <dc:creator>14418</dc:creator>
  <cp:lastModifiedBy>郑岩</cp:lastModifiedBy>
  <dcterms:modified xsi:type="dcterms:W3CDTF">2026-03-09T01:34:31Z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