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902C0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附件1：</w:t>
      </w:r>
      <w:r>
        <w:rPr>
          <w:rFonts w:hint="eastAsia"/>
          <w:b/>
          <w:bCs/>
          <w:lang w:val="en-US" w:eastAsia="zh-CN"/>
        </w:rPr>
        <w:t>飘窗及空调板图示及依据</w:t>
      </w:r>
    </w:p>
    <w:p w14:paraId="2BAD03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飘窗及空调板平面图</w:t>
      </w:r>
    </w:p>
    <w:p w14:paraId="517C4B4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488565" cy="2195195"/>
            <wp:effectExtent l="0" t="0" r="63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E66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飘窗模型图（选中蓝色部分为飘窗，外部棕绿色部分为砌体外墙，灰色墙体为剪力墙，为内置飘窗）</w:t>
      </w:r>
    </w:p>
    <w:p w14:paraId="68BD3B7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571750" cy="265557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002C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实体图（飘窗及空调板（百叶内部））</w:t>
      </w:r>
    </w:p>
    <w:p w14:paraId="73AA2162">
      <w:r>
        <w:drawing>
          <wp:inline distT="0" distB="0" distL="114300" distR="114300">
            <wp:extent cx="2856865" cy="2614930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096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建筑面积定义（有围护结构、封闭围合的建筑空间，应按其外围护结构外表面所围空间的水平投影面积计算）</w:t>
      </w:r>
    </w:p>
    <w:p w14:paraId="5552D21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839085"/>
            <wp:effectExtent l="0" t="0" r="1079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1CE1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飘窗不计算建筑面积计算规定</w:t>
      </w:r>
      <w:r>
        <w:rPr>
          <w:rFonts w:hint="eastAsia"/>
          <w:b w:val="0"/>
          <w:bCs w:val="0"/>
          <w:color w:val="FF0000"/>
          <w:lang w:val="en-US" w:eastAsia="zh-CN"/>
        </w:rPr>
        <w:t>（前提条件是突出外墙的窗，本项目为内置飘窗）</w:t>
      </w:r>
    </w:p>
    <w:p w14:paraId="0E544368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1770" cy="1600200"/>
            <wp:effectExtent l="0" t="0" r="1143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9676">
      <w:pPr>
        <w:rPr>
          <w:rFonts w:hint="eastAsia"/>
          <w:b/>
          <w:bCs/>
          <w:lang w:val="en-US" w:eastAsia="zh-CN"/>
        </w:rPr>
      </w:pPr>
    </w:p>
    <w:p w14:paraId="77C5BDAE">
      <w:pPr>
        <w:rPr>
          <w:rFonts w:hint="eastAsia"/>
          <w:b/>
          <w:bCs/>
          <w:lang w:val="en-US" w:eastAsia="zh-CN"/>
        </w:rPr>
      </w:pPr>
    </w:p>
    <w:p w14:paraId="300BDDD7">
      <w:pPr>
        <w:rPr>
          <w:rFonts w:hint="eastAsia"/>
          <w:b/>
          <w:bCs/>
          <w:lang w:val="en-US" w:eastAsia="zh-CN"/>
        </w:rPr>
      </w:pPr>
    </w:p>
    <w:p w14:paraId="29DF7431">
      <w:pPr>
        <w:rPr>
          <w:rFonts w:hint="eastAsia"/>
          <w:b/>
          <w:bCs/>
          <w:lang w:val="en-US" w:eastAsia="zh-CN"/>
        </w:rPr>
      </w:pPr>
    </w:p>
    <w:p w14:paraId="6354D2EE">
      <w:pPr>
        <w:rPr>
          <w:rFonts w:hint="eastAsia"/>
          <w:b/>
          <w:bCs/>
          <w:lang w:val="en-US" w:eastAsia="zh-CN"/>
        </w:rPr>
      </w:pPr>
    </w:p>
    <w:p w14:paraId="49AE329D">
      <w:pPr>
        <w:rPr>
          <w:rFonts w:hint="eastAsia"/>
          <w:b/>
          <w:bCs/>
          <w:lang w:val="en-US" w:eastAsia="zh-CN"/>
        </w:rPr>
      </w:pPr>
    </w:p>
    <w:p w14:paraId="1A4A1F37">
      <w:pPr>
        <w:rPr>
          <w:rFonts w:hint="eastAsia"/>
          <w:b/>
          <w:bCs/>
          <w:lang w:val="en-US" w:eastAsia="zh-CN"/>
        </w:rPr>
      </w:pPr>
    </w:p>
    <w:p w14:paraId="1CD586EB">
      <w:pPr>
        <w:rPr>
          <w:rFonts w:hint="eastAsia"/>
          <w:b/>
          <w:bCs/>
          <w:lang w:val="en-US" w:eastAsia="zh-CN"/>
        </w:rPr>
      </w:pPr>
    </w:p>
    <w:p w14:paraId="38F1B007">
      <w:pPr>
        <w:rPr>
          <w:rFonts w:hint="eastAsia"/>
          <w:b/>
          <w:bCs/>
          <w:lang w:val="en-US" w:eastAsia="zh-CN"/>
        </w:rPr>
      </w:pPr>
    </w:p>
    <w:p w14:paraId="663A7A61">
      <w:pPr>
        <w:rPr>
          <w:rFonts w:hint="eastAsia"/>
          <w:b/>
          <w:bCs/>
          <w:lang w:val="en-US" w:eastAsia="zh-CN"/>
        </w:rPr>
      </w:pPr>
    </w:p>
    <w:p w14:paraId="60A5A510">
      <w:pPr>
        <w:rPr>
          <w:rFonts w:hint="eastAsia"/>
          <w:b/>
          <w:bCs/>
          <w:lang w:val="en-US" w:eastAsia="zh-CN"/>
        </w:rPr>
      </w:pPr>
    </w:p>
    <w:p w14:paraId="6AC1B886">
      <w:pPr>
        <w:rPr>
          <w:rFonts w:hint="eastAsia"/>
          <w:b/>
          <w:bCs/>
          <w:lang w:val="en-US" w:eastAsia="zh-CN"/>
        </w:rPr>
      </w:pPr>
    </w:p>
    <w:p w14:paraId="2FC6D63A">
      <w:pPr>
        <w:rPr>
          <w:rFonts w:hint="eastAsia"/>
          <w:b/>
          <w:bCs/>
          <w:lang w:val="en-US" w:eastAsia="zh-CN"/>
        </w:rPr>
      </w:pPr>
    </w:p>
    <w:p w14:paraId="5CB881EF">
      <w:pPr>
        <w:rPr>
          <w:rFonts w:hint="eastAsia"/>
          <w:b/>
          <w:bCs/>
          <w:lang w:val="en-US" w:eastAsia="zh-CN"/>
        </w:rPr>
      </w:pPr>
    </w:p>
    <w:p w14:paraId="1197C9C0">
      <w:pPr>
        <w:rPr>
          <w:rFonts w:hint="eastAsia"/>
          <w:b/>
          <w:bCs/>
          <w:lang w:val="en-US" w:eastAsia="zh-CN"/>
        </w:rPr>
      </w:pPr>
    </w:p>
    <w:p w14:paraId="0C2BAD4D">
      <w:pPr>
        <w:rPr>
          <w:rFonts w:hint="eastAsia"/>
          <w:b/>
          <w:bCs/>
          <w:lang w:val="en-US" w:eastAsia="zh-CN"/>
        </w:rPr>
      </w:pPr>
    </w:p>
    <w:p w14:paraId="5C1E5392">
      <w:pPr>
        <w:rPr>
          <w:rFonts w:hint="eastAsia"/>
          <w:b/>
          <w:bCs/>
          <w:lang w:val="en-US" w:eastAsia="zh-CN"/>
        </w:rPr>
      </w:pPr>
    </w:p>
    <w:p w14:paraId="450557E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附件2：建筑面积新规及合同条款</w:t>
      </w:r>
      <w:bookmarkStart w:id="0" w:name="_GoBack"/>
      <w:bookmarkEnd w:id="0"/>
    </w:p>
    <w:p w14:paraId="1F657BD7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建筑面积新规条款</w:t>
      </w:r>
    </w:p>
    <w:p w14:paraId="45AC411D">
      <w:r>
        <w:drawing>
          <wp:inline distT="0" distB="0" distL="114300" distR="114300">
            <wp:extent cx="5270500" cy="3329305"/>
            <wp:effectExtent l="0" t="0" r="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76E1"/>
    <w:p w14:paraId="0D47EF6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合同条款</w:t>
      </w:r>
    </w:p>
    <w:p w14:paraId="7CC51D9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748530" cy="4314190"/>
            <wp:effectExtent l="0" t="0" r="1270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052DCB"/>
    <w:rsid w:val="14447B5C"/>
    <w:rsid w:val="18F275FC"/>
    <w:rsid w:val="31D65E3F"/>
    <w:rsid w:val="35052DCB"/>
    <w:rsid w:val="36954D4A"/>
    <w:rsid w:val="49E26467"/>
    <w:rsid w:val="657851A0"/>
    <w:rsid w:val="79B0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</Words>
  <Characters>78</Characters>
  <Lines>0</Lines>
  <Paragraphs>0</Paragraphs>
  <TotalTime>1</TotalTime>
  <ScaleCrop>false</ScaleCrop>
  <LinksUpToDate>false</LinksUpToDate>
  <CharactersWithSpaces>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2025-10-16T02:58:00Z</dcterms:created>
  <dc:creator>asus</dc:creator>
  <cp:lastModifiedBy>等等</cp:lastModifiedBy>
  <dcterms:modified xsi:type="dcterms:W3CDTF">2025-10-20T00:40:58Z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BD068358AD5147B0A2DB10D7D9C6C2D7_13</vt:lpwstr>
  </property>
  <property fmtid="{D5CDD505-2E9C-101B-9397-08002B2CF9AE}" pid="4" name="KSOTemplateDocerSaveRecord">
    <vt:lpwstr>eyJoZGlkIjoiNzI1MzljODBiNDliMzEyMzFlZWNlN2EzYjU0N2YzMWEiLCJ1c2VySWQiOiIyNTkwMzAzMDAifQ==</vt:lpwstr>
  </property>
</Properties>
</file>