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9CC79">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为场区内电力外网工程，招标文件第五章工程量清单第2.6.5条“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2FD8FBA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项目招标工程量清单列项为：</w:t>
      </w:r>
    </w:p>
    <w:p w14:paraId="54447FF8">
      <w:p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drawing>
          <wp:inline distT="0" distB="0" distL="114300" distR="114300">
            <wp:extent cx="5273040" cy="322580"/>
            <wp:effectExtent l="0" t="0" r="3810" b="1270"/>
            <wp:docPr id="1" name="图片 1" descr="8fa46f85-f24f-4308-82bb-d1997f7bf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a46f85-f24f-4308-82bb-d1997f7bf132"/>
                    <pic:cNvPicPr>
                      <a:picLocks noChangeAspect="1"/>
                    </pic:cNvPicPr>
                  </pic:nvPicPr>
                  <pic:blipFill>
                    <a:blip r:embed="rId4"/>
                    <a:stretch>
                      <a:fillRect/>
                    </a:stretch>
                  </pic:blipFill>
                  <pic:spPr>
                    <a:xfrm>
                      <a:off x="0" y="0"/>
                      <a:ext cx="5273040" cy="322580"/>
                    </a:xfrm>
                    <a:prstGeom prst="rect">
                      <a:avLst/>
                    </a:prstGeom>
                  </pic:spPr>
                </pic:pic>
              </a:graphicData>
            </a:graphic>
          </wp:inline>
        </w:drawing>
      </w:r>
    </w:p>
    <w:p w14:paraId="18CECA4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对应项目投标文件报价列项为：</w:t>
      </w:r>
    </w:p>
    <w:p w14:paraId="6DA904BA">
      <w:p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drawing>
          <wp:inline distT="0" distB="0" distL="114300" distR="114300">
            <wp:extent cx="5274310" cy="490220"/>
            <wp:effectExtent l="0" t="0" r="2540" b="5080"/>
            <wp:docPr id="2" name="图片 2" descr="ac189d88-0d20-4817-8483-b606278d1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c189d88-0d20-4817-8483-b606278d1ffe"/>
                    <pic:cNvPicPr>
                      <a:picLocks noChangeAspect="1"/>
                    </pic:cNvPicPr>
                  </pic:nvPicPr>
                  <pic:blipFill>
                    <a:blip r:embed="rId5"/>
                    <a:stretch>
                      <a:fillRect/>
                    </a:stretch>
                  </pic:blipFill>
                  <pic:spPr>
                    <a:xfrm>
                      <a:off x="0" y="0"/>
                      <a:ext cx="5274310" cy="490220"/>
                    </a:xfrm>
                    <a:prstGeom prst="rect">
                      <a:avLst/>
                    </a:prstGeom>
                  </pic:spPr>
                </pic:pic>
              </a:graphicData>
            </a:graphic>
          </wp:inline>
        </w:drawing>
      </w:r>
    </w:p>
    <w:p w14:paraId="78216E5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请老师帮解答问题如下：</w:t>
      </w:r>
    </w:p>
    <w:p w14:paraId="0387524C">
      <w:pPr>
        <w:numPr>
          <w:ilvl w:val="0"/>
          <w:numId w:val="1"/>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项目竣工结算时“主要材料和工程设备选用表”中所列材料和工程设备是否记取落地之后发生的仓储、保管、库损以及从堆放地点运至安装地点的二次搬运等其他费用？</w:t>
      </w:r>
    </w:p>
    <w:p w14:paraId="139E80A5">
      <w:pPr>
        <w:numPr>
          <w:ilvl w:val="0"/>
          <w:numId w:val="1"/>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项目竣工结算时“场内运输”清单项目费用如何计取？</w:t>
      </w:r>
    </w:p>
    <w:p w14:paraId="26FE0E4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3、园区内的引电杆塔（1根）安装工程是否按10kv以下架空配线路计价规则计取工地运输费用。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AD14"/>
    <w:multiLevelType w:val="singleLevel"/>
    <w:tmpl w:val="AE1CAD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221A"/>
    <w:rsid w:val="1822660B"/>
    <w:rsid w:val="390115A5"/>
    <w:rsid w:val="6A272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507</Words>
  <Characters>514</Characters>
  <Lines>0</Lines>
  <Paragraphs>0</Paragraphs>
  <TotalTime>6</TotalTime>
  <ScaleCrop>false</ScaleCrop>
  <LinksUpToDate>false</LinksUpToDate>
  <CharactersWithSpaces>514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2025-09-01T00:49:00Z</dcterms:created>
  <dc:creator>Administrator</dc:creator>
  <cp:lastModifiedBy>gyd2017</cp:lastModifiedBy>
  <dcterms:modified xsi:type="dcterms:W3CDTF">2025-09-05T02:12:21Z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eyJoZGlkIjoiNGNlY2VjZWEwMjFiYmU4MTk5ZTcyYjUxYTdiZDY3MjYiLCJ1c2VySWQiOiI5OTM2NzA5NTQifQ==</vt:lpwstr>
  </property>
  <property fmtid="{D5CDD505-2E9C-101B-9397-08002B2CF9AE}" pid="4" name="ICV">
    <vt:lpwstr>9B3D13EBA7DE48DDACD67EAA230F2EA5_12</vt:lpwstr>
  </property>
</Properties>
</file>